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79AD" w14:textId="0E6EC41B" w:rsidR="003F7C7A" w:rsidRPr="00EE7561" w:rsidRDefault="00A706E7" w:rsidP="00434A48">
      <w:pPr>
        <w:jc w:val="center"/>
        <w:rPr>
          <w:rFonts w:asciiTheme="majorBidi" w:hAnsiTheme="majorBidi" w:cstheme="majorBidi"/>
          <w:b/>
          <w:bCs/>
          <w:sz w:val="28"/>
          <w:szCs w:val="28"/>
        </w:rPr>
      </w:pPr>
      <w:r w:rsidRPr="00EE7561">
        <w:rPr>
          <w:rFonts w:asciiTheme="majorBidi" w:hAnsiTheme="majorBidi" w:cstheme="majorBidi"/>
          <w:b/>
          <w:bCs/>
          <w:sz w:val="28"/>
          <w:szCs w:val="28"/>
        </w:rPr>
        <w:t>Ulusal Katkı Beyanı</w:t>
      </w:r>
      <w:r w:rsidR="005B5BB9">
        <w:rPr>
          <w:rFonts w:asciiTheme="majorBidi" w:hAnsiTheme="majorBidi" w:cstheme="majorBidi"/>
          <w:b/>
          <w:bCs/>
          <w:sz w:val="28"/>
          <w:szCs w:val="28"/>
        </w:rPr>
        <w:t xml:space="preserve"> (Nationally Determined Contribution)</w:t>
      </w:r>
      <w:r w:rsidR="00426344">
        <w:rPr>
          <w:rFonts w:asciiTheme="majorBidi" w:hAnsiTheme="majorBidi" w:cstheme="majorBidi"/>
          <w:b/>
          <w:bCs/>
          <w:sz w:val="28"/>
          <w:szCs w:val="28"/>
        </w:rPr>
        <w:t xml:space="preserve"> Özet Bilgi Notu</w:t>
      </w:r>
    </w:p>
    <w:p w14:paraId="590092F2" w14:textId="589422B7" w:rsidR="00091CD6" w:rsidRPr="007B16A4" w:rsidRDefault="00091CD6" w:rsidP="00F45EB4">
      <w:pPr>
        <w:ind w:firstLine="708"/>
        <w:jc w:val="both"/>
        <w:rPr>
          <w:rFonts w:asciiTheme="majorBidi" w:hAnsiTheme="majorBidi" w:cstheme="majorBidi"/>
        </w:rPr>
      </w:pPr>
      <w:r w:rsidRPr="00FE25B0">
        <w:rPr>
          <w:rFonts w:asciiTheme="majorBidi" w:hAnsiTheme="majorBidi" w:cstheme="majorBidi"/>
          <w:u w:val="single"/>
        </w:rPr>
        <w:t xml:space="preserve">Türkiye; taraf olduğu Paris Anlaşması hükümleri gereğince Ulusal Katkı beyanını, Birleşmiş </w:t>
      </w:r>
      <w:r w:rsidRPr="007B16A4">
        <w:rPr>
          <w:rFonts w:asciiTheme="majorBidi" w:hAnsiTheme="majorBidi" w:cstheme="majorBidi"/>
          <w:u w:val="single"/>
        </w:rPr>
        <w:t>Milletler İklim Değişikliği</w:t>
      </w:r>
      <w:r w:rsidR="00382F1F" w:rsidRPr="007B16A4">
        <w:rPr>
          <w:rFonts w:asciiTheme="majorBidi" w:hAnsiTheme="majorBidi" w:cstheme="majorBidi"/>
          <w:u w:val="single"/>
        </w:rPr>
        <w:t xml:space="preserve"> Çerçeve</w:t>
      </w:r>
      <w:r w:rsidRPr="007B16A4">
        <w:rPr>
          <w:rFonts w:asciiTheme="majorBidi" w:hAnsiTheme="majorBidi" w:cstheme="majorBidi"/>
          <w:u w:val="single"/>
        </w:rPr>
        <w:t xml:space="preserve"> Sözleşmesi Sekretaryası’na sunmakla yükümlüdür.</w:t>
      </w:r>
      <w:r w:rsidR="00434A48" w:rsidRPr="007B16A4">
        <w:rPr>
          <w:rFonts w:asciiTheme="majorBidi" w:hAnsiTheme="majorBidi" w:cstheme="majorBidi"/>
          <w:u w:val="single"/>
        </w:rPr>
        <w:t xml:space="preserve"> Güncellenmiş Birinci Ulusal Katkı Beyanı Hedefleri 15 Kasım 2022 tarihinde </w:t>
      </w:r>
      <w:r w:rsidR="0093293F" w:rsidRPr="007B16A4">
        <w:rPr>
          <w:rFonts w:asciiTheme="majorBidi" w:hAnsiTheme="majorBidi" w:cstheme="majorBidi"/>
          <w:u w:val="single"/>
        </w:rPr>
        <w:t>Birleşmiş Milletler İklim Değişikliği Çerçeve Sözleşmesi (</w:t>
      </w:r>
      <w:r w:rsidR="00434A48" w:rsidRPr="007B16A4">
        <w:rPr>
          <w:rFonts w:asciiTheme="majorBidi" w:hAnsiTheme="majorBidi" w:cstheme="majorBidi"/>
          <w:u w:val="single"/>
        </w:rPr>
        <w:t>BMİDÇS</w:t>
      </w:r>
      <w:r w:rsidR="0093293F" w:rsidRPr="007B16A4">
        <w:rPr>
          <w:rFonts w:asciiTheme="majorBidi" w:hAnsiTheme="majorBidi" w:cstheme="majorBidi"/>
          <w:u w:val="single"/>
        </w:rPr>
        <w:t>)</w:t>
      </w:r>
      <w:r w:rsidR="00434A48" w:rsidRPr="007B16A4">
        <w:rPr>
          <w:rFonts w:asciiTheme="majorBidi" w:hAnsiTheme="majorBidi" w:cstheme="majorBidi"/>
          <w:u w:val="single"/>
        </w:rPr>
        <w:t xml:space="preserve"> 27. Taraflar Konferansı’nın Bakanlar Oturumunda ilan edilmiştir.</w:t>
      </w:r>
      <w:r w:rsidR="00434A48" w:rsidRPr="007B16A4">
        <w:rPr>
          <w:rFonts w:asciiTheme="majorBidi" w:hAnsiTheme="majorBidi" w:cstheme="majorBidi"/>
        </w:rPr>
        <w:t xml:space="preserve"> </w:t>
      </w:r>
      <w:r w:rsidR="000979A4" w:rsidRPr="007B16A4">
        <w:rPr>
          <w:rFonts w:asciiTheme="majorBidi" w:hAnsiTheme="majorBidi" w:cstheme="majorBidi"/>
          <w:u w:val="single"/>
        </w:rPr>
        <w:t xml:space="preserve">Türkiye, Paris Anlaşması ile uyumlu olarak, 2015 yılında BMİDÇS Sekretaryası’na sunulan 1. </w:t>
      </w:r>
      <w:r w:rsidR="00F45EB4" w:rsidRPr="007B16A4">
        <w:rPr>
          <w:rFonts w:asciiTheme="majorBidi" w:hAnsiTheme="majorBidi" w:cstheme="majorBidi"/>
          <w:u w:val="single"/>
        </w:rPr>
        <w:t>Ulusal Katkı Beyanı</w:t>
      </w:r>
      <w:r w:rsidR="000979A4" w:rsidRPr="007B16A4">
        <w:rPr>
          <w:rFonts w:asciiTheme="majorBidi" w:hAnsiTheme="majorBidi" w:cstheme="majorBidi"/>
          <w:u w:val="single"/>
        </w:rPr>
        <w:t>’</w:t>
      </w:r>
      <w:r w:rsidR="00F45EB4" w:rsidRPr="007B16A4">
        <w:rPr>
          <w:rFonts w:asciiTheme="majorBidi" w:hAnsiTheme="majorBidi" w:cstheme="majorBidi"/>
          <w:u w:val="single"/>
        </w:rPr>
        <w:t>nı</w:t>
      </w:r>
      <w:r w:rsidR="000979A4" w:rsidRPr="007B16A4">
        <w:rPr>
          <w:rFonts w:asciiTheme="majorBidi" w:hAnsiTheme="majorBidi" w:cstheme="majorBidi"/>
          <w:u w:val="single"/>
        </w:rPr>
        <w:t xml:space="preserve"> güncelleme kararı almıştır. </w:t>
      </w:r>
      <w:r w:rsidR="000979A4" w:rsidRPr="007B16A4">
        <w:rPr>
          <w:rFonts w:asciiTheme="majorBidi" w:hAnsiTheme="majorBidi" w:cstheme="majorBidi"/>
        </w:rPr>
        <w:t xml:space="preserve">Türkiye’nin bu yöndeki hedefi, Türkiye’nin 1. </w:t>
      </w:r>
      <w:r w:rsidR="00F864F3" w:rsidRPr="007B16A4">
        <w:rPr>
          <w:rFonts w:asciiTheme="majorBidi" w:hAnsiTheme="majorBidi" w:cstheme="majorBidi"/>
        </w:rPr>
        <w:t>Ulusal Katkı Beyanı</w:t>
      </w:r>
      <w:r w:rsidR="00E56530" w:rsidRPr="007B16A4">
        <w:rPr>
          <w:rFonts w:asciiTheme="majorBidi" w:hAnsiTheme="majorBidi" w:cstheme="majorBidi"/>
        </w:rPr>
        <w:t xml:space="preserve"> </w:t>
      </w:r>
      <w:r w:rsidR="000979A4" w:rsidRPr="007B16A4">
        <w:rPr>
          <w:rFonts w:asciiTheme="majorBidi" w:hAnsiTheme="majorBidi" w:cstheme="majorBidi"/>
        </w:rPr>
        <w:t xml:space="preserve">çerçevesindeki Referans Senaryo’ya kıyasla, </w:t>
      </w:r>
      <w:r w:rsidR="000979A4" w:rsidRPr="007B16A4">
        <w:rPr>
          <w:rFonts w:asciiTheme="majorBidi" w:hAnsiTheme="majorBidi" w:cstheme="majorBidi"/>
          <w:u w:val="single"/>
        </w:rPr>
        <w:t>%21’lik azaltım düzeyi</w:t>
      </w:r>
      <w:r w:rsidR="00AE6891" w:rsidRPr="007B16A4">
        <w:rPr>
          <w:rFonts w:asciiTheme="majorBidi" w:hAnsiTheme="majorBidi" w:cstheme="majorBidi"/>
          <w:u w:val="single"/>
        </w:rPr>
        <w:t>ni</w:t>
      </w:r>
      <w:r w:rsidR="004503B6" w:rsidRPr="007B16A4">
        <w:rPr>
          <w:rFonts w:asciiTheme="majorBidi" w:hAnsiTheme="majorBidi" w:cstheme="majorBidi"/>
          <w:u w:val="single"/>
        </w:rPr>
        <w:t xml:space="preserve"> neredeyse iki kat artırarak</w:t>
      </w:r>
      <w:r w:rsidR="000979A4" w:rsidRPr="007B16A4">
        <w:rPr>
          <w:rFonts w:asciiTheme="majorBidi" w:hAnsiTheme="majorBidi" w:cstheme="majorBidi"/>
          <w:u w:val="single"/>
        </w:rPr>
        <w:t xml:space="preserve"> %41 olacak biçimde </w:t>
      </w:r>
      <w:r w:rsidR="002F3680" w:rsidRPr="007B16A4">
        <w:rPr>
          <w:rFonts w:asciiTheme="majorBidi" w:hAnsiTheme="majorBidi" w:cstheme="majorBidi"/>
          <w:u w:val="single"/>
        </w:rPr>
        <w:t>güncellemiştir</w:t>
      </w:r>
      <w:r w:rsidR="000979A4" w:rsidRPr="007B16A4">
        <w:rPr>
          <w:rFonts w:asciiTheme="majorBidi" w:hAnsiTheme="majorBidi" w:cstheme="majorBidi"/>
          <w:u w:val="single"/>
        </w:rPr>
        <w:t>.</w:t>
      </w:r>
      <w:r w:rsidR="001E29CC">
        <w:rPr>
          <w:rFonts w:asciiTheme="majorBidi" w:hAnsiTheme="majorBidi" w:cstheme="majorBidi"/>
          <w:u w:val="single"/>
        </w:rPr>
        <w:t xml:space="preserve"> </w:t>
      </w:r>
      <w:r w:rsidR="00C67938" w:rsidRPr="007B16A4">
        <w:rPr>
          <w:rFonts w:asciiTheme="majorBidi" w:hAnsiTheme="majorBidi" w:cstheme="majorBidi"/>
        </w:rPr>
        <w:t xml:space="preserve">Gelişmekte olan bir ülke olan Türkiye’nin küresel sera gazı emisyonlarına tarihsel katkısı </w:t>
      </w:r>
      <w:r w:rsidR="00C67938" w:rsidRPr="007B16A4">
        <w:rPr>
          <w:rFonts w:asciiTheme="majorBidi" w:hAnsiTheme="majorBidi" w:cstheme="majorBidi"/>
          <w:b/>
          <w:bCs/>
        </w:rPr>
        <w:t>%1’in</w:t>
      </w:r>
      <w:r w:rsidR="00C67938" w:rsidRPr="007B16A4">
        <w:rPr>
          <w:rFonts w:asciiTheme="majorBidi" w:hAnsiTheme="majorBidi" w:cstheme="majorBidi"/>
        </w:rPr>
        <w:t xml:space="preserve"> altındadır.</w:t>
      </w:r>
    </w:p>
    <w:p w14:paraId="5E55E094" w14:textId="66BCBE02" w:rsidR="004A1ABC" w:rsidRPr="007B16A4" w:rsidRDefault="004A1ABC" w:rsidP="004F6141">
      <w:pPr>
        <w:ind w:firstLine="708"/>
        <w:jc w:val="both"/>
        <w:rPr>
          <w:rFonts w:asciiTheme="majorBidi" w:hAnsiTheme="majorBidi" w:cstheme="majorBidi"/>
        </w:rPr>
      </w:pPr>
      <w:r w:rsidRPr="007B16A4">
        <w:rPr>
          <w:rFonts w:asciiTheme="majorBidi" w:hAnsiTheme="majorBidi" w:cstheme="majorBidi"/>
        </w:rPr>
        <w:t>Türkiye’nin 2024-2028 dönemi için hazırlan</w:t>
      </w:r>
      <w:r w:rsidR="00B02C38" w:rsidRPr="007B16A4">
        <w:rPr>
          <w:rFonts w:asciiTheme="majorBidi" w:hAnsiTheme="majorBidi" w:cstheme="majorBidi"/>
        </w:rPr>
        <w:t>makta olan</w:t>
      </w:r>
      <w:r w:rsidRPr="007B16A4">
        <w:rPr>
          <w:rFonts w:asciiTheme="majorBidi" w:hAnsiTheme="majorBidi" w:cstheme="majorBidi"/>
        </w:rPr>
        <w:t xml:space="preserve"> On İkinci Kalkınma Planı ve 2053’e yönelik uzun vadeli stratejisi; iklim hedefleri ve </w:t>
      </w:r>
      <w:r w:rsidR="00CF167B" w:rsidRPr="007B16A4">
        <w:rPr>
          <w:rFonts w:asciiTheme="majorBidi" w:hAnsiTheme="majorBidi" w:cstheme="majorBidi"/>
        </w:rPr>
        <w:t xml:space="preserve">ekonomik büyümeyi uyumlaştırarak </w:t>
      </w:r>
      <w:r w:rsidR="000B72C3" w:rsidRPr="007B16A4">
        <w:rPr>
          <w:rFonts w:asciiTheme="majorBidi" w:hAnsiTheme="majorBidi" w:cstheme="majorBidi"/>
        </w:rPr>
        <w:t xml:space="preserve">başta imalat sanayi olmak üzere tüm sektörlerde sorunsuz işler hale getirerek ülkenin gittikçe daha iddialı olan iklim hedeflerini kapsayacaktır. </w:t>
      </w:r>
    </w:p>
    <w:p w14:paraId="3C181CD6" w14:textId="03ECA509" w:rsidR="00EE7561" w:rsidRPr="007B16A4" w:rsidRDefault="00EE7561" w:rsidP="00EE7561">
      <w:pPr>
        <w:pStyle w:val="ListeParagraf"/>
        <w:numPr>
          <w:ilvl w:val="0"/>
          <w:numId w:val="1"/>
        </w:numPr>
        <w:ind w:left="567"/>
        <w:jc w:val="both"/>
        <w:rPr>
          <w:rFonts w:asciiTheme="majorBidi" w:hAnsiTheme="majorBidi" w:cstheme="majorBidi"/>
        </w:rPr>
      </w:pPr>
      <w:r w:rsidRPr="007B16A4">
        <w:rPr>
          <w:rFonts w:asciiTheme="majorBidi" w:hAnsiTheme="majorBidi" w:cstheme="majorBidi"/>
          <w:b/>
          <w:bCs/>
        </w:rPr>
        <w:t>Türkiye’nin Mevcut ve 2030 Hedefine Yönelik İklim Politikalarına Genel Bakış</w:t>
      </w:r>
    </w:p>
    <w:p w14:paraId="6F98DD6C" w14:textId="02F73255" w:rsidR="00EE7561" w:rsidRPr="007B16A4" w:rsidRDefault="00EE7561" w:rsidP="00750352">
      <w:pPr>
        <w:ind w:left="207" w:firstLine="501"/>
        <w:jc w:val="both"/>
        <w:rPr>
          <w:rFonts w:asciiTheme="majorBidi" w:hAnsiTheme="majorBidi" w:cstheme="majorBidi"/>
          <w:u w:val="single"/>
        </w:rPr>
      </w:pPr>
      <w:r w:rsidRPr="007B16A4">
        <w:rPr>
          <w:rFonts w:asciiTheme="majorBidi" w:hAnsiTheme="majorBidi" w:cstheme="majorBidi"/>
          <w:u w:val="single"/>
        </w:rPr>
        <w:t>Avrupa Birliği’ne aday ülkelerden biri olarak Türkiye, AB politikalarını yakından izlemekte ve ilgili müktesebata uymak amacıyla iklim değişikliği ve çevreye ilişkin mevzuat geliştirmektedir.</w:t>
      </w:r>
      <w:r w:rsidR="00750352" w:rsidRPr="007B16A4">
        <w:rPr>
          <w:rFonts w:asciiTheme="majorBidi" w:hAnsiTheme="majorBidi" w:cstheme="majorBidi"/>
          <w:u w:val="single"/>
        </w:rPr>
        <w:t xml:space="preserve"> </w:t>
      </w:r>
    </w:p>
    <w:p w14:paraId="5A40B184" w14:textId="7BB0A30C" w:rsidR="00750352" w:rsidRPr="007B16A4" w:rsidRDefault="00750352" w:rsidP="00340539">
      <w:pPr>
        <w:ind w:left="207" w:firstLine="360"/>
        <w:jc w:val="both"/>
        <w:rPr>
          <w:rFonts w:asciiTheme="majorBidi" w:hAnsiTheme="majorBidi" w:cstheme="majorBidi"/>
          <w:u w:val="single"/>
        </w:rPr>
      </w:pPr>
      <w:r w:rsidRPr="007B16A4">
        <w:rPr>
          <w:rFonts w:asciiTheme="majorBidi" w:hAnsiTheme="majorBidi" w:cstheme="majorBidi"/>
          <w:u w:val="single"/>
        </w:rPr>
        <w:t>Sürdürülebilir ve iklim dirençli kalkınma yönünde sektörel politikalara hareket eden genel mevzuat ve politikaların bazıları şunlardır:</w:t>
      </w:r>
    </w:p>
    <w:p w14:paraId="1633B0C5" w14:textId="6CF9EBE7" w:rsidR="00750352" w:rsidRPr="00CD6718" w:rsidRDefault="00750352" w:rsidP="00750352">
      <w:pPr>
        <w:pStyle w:val="ListeParagraf"/>
        <w:numPr>
          <w:ilvl w:val="0"/>
          <w:numId w:val="2"/>
        </w:numPr>
        <w:jc w:val="both"/>
        <w:rPr>
          <w:rFonts w:asciiTheme="majorBidi" w:hAnsiTheme="majorBidi" w:cstheme="majorBidi"/>
        </w:rPr>
      </w:pPr>
      <w:r w:rsidRPr="00CD6718">
        <w:rPr>
          <w:rFonts w:asciiTheme="majorBidi" w:hAnsiTheme="majorBidi" w:cstheme="majorBidi"/>
        </w:rPr>
        <w:t>On Birinci Kalkınma Planı (2019-2023)</w:t>
      </w:r>
    </w:p>
    <w:p w14:paraId="7065AFCD" w14:textId="3C61EB9A" w:rsidR="00750352" w:rsidRPr="007B16A4" w:rsidRDefault="00C16F79" w:rsidP="00750352">
      <w:pPr>
        <w:pStyle w:val="ListeParagraf"/>
        <w:numPr>
          <w:ilvl w:val="0"/>
          <w:numId w:val="2"/>
        </w:numPr>
        <w:jc w:val="both"/>
        <w:rPr>
          <w:rFonts w:asciiTheme="majorBidi" w:hAnsiTheme="majorBidi" w:cstheme="majorBidi"/>
        </w:rPr>
      </w:pPr>
      <w:r w:rsidRPr="007B16A4">
        <w:rPr>
          <w:rFonts w:asciiTheme="majorBidi" w:hAnsiTheme="majorBidi" w:cstheme="majorBidi"/>
        </w:rPr>
        <w:t>Çevre Kanunu (1983)</w:t>
      </w:r>
    </w:p>
    <w:p w14:paraId="55E5FFC2" w14:textId="4C6BA98C" w:rsidR="00C16F79" w:rsidRPr="007B16A4" w:rsidRDefault="00C16F79" w:rsidP="00750352">
      <w:pPr>
        <w:pStyle w:val="ListeParagraf"/>
        <w:numPr>
          <w:ilvl w:val="0"/>
          <w:numId w:val="2"/>
        </w:numPr>
        <w:jc w:val="both"/>
        <w:rPr>
          <w:rFonts w:asciiTheme="majorBidi" w:hAnsiTheme="majorBidi" w:cstheme="majorBidi"/>
        </w:rPr>
      </w:pPr>
      <w:r w:rsidRPr="007B16A4">
        <w:rPr>
          <w:rFonts w:asciiTheme="majorBidi" w:hAnsiTheme="majorBidi" w:cstheme="majorBidi"/>
        </w:rPr>
        <w:t>Enerji Verimliliği Kanunu (2007)</w:t>
      </w:r>
    </w:p>
    <w:p w14:paraId="10BD481D" w14:textId="3A97E201" w:rsidR="00C16F79" w:rsidRPr="007B16A4" w:rsidRDefault="00467735" w:rsidP="00750352">
      <w:pPr>
        <w:pStyle w:val="ListeParagraf"/>
        <w:numPr>
          <w:ilvl w:val="0"/>
          <w:numId w:val="2"/>
        </w:numPr>
        <w:jc w:val="both"/>
        <w:rPr>
          <w:rFonts w:asciiTheme="majorBidi" w:hAnsiTheme="majorBidi" w:cstheme="majorBidi"/>
        </w:rPr>
      </w:pPr>
      <w:r w:rsidRPr="007B16A4">
        <w:rPr>
          <w:rFonts w:asciiTheme="majorBidi" w:hAnsiTheme="majorBidi" w:cstheme="majorBidi"/>
        </w:rPr>
        <w:t>Orta Vadeli Program (2023-2025)</w:t>
      </w:r>
    </w:p>
    <w:p w14:paraId="487E8D2C" w14:textId="77777777" w:rsidR="00CD6718" w:rsidRDefault="00DD2087" w:rsidP="00CD6718">
      <w:pPr>
        <w:pStyle w:val="ListeParagraf"/>
        <w:numPr>
          <w:ilvl w:val="0"/>
          <w:numId w:val="2"/>
        </w:numPr>
        <w:jc w:val="both"/>
        <w:rPr>
          <w:rFonts w:asciiTheme="majorBidi" w:hAnsiTheme="majorBidi" w:cstheme="majorBidi"/>
        </w:rPr>
      </w:pPr>
      <w:r w:rsidRPr="007B16A4">
        <w:rPr>
          <w:rFonts w:asciiTheme="majorBidi" w:hAnsiTheme="majorBidi" w:cstheme="majorBidi"/>
        </w:rPr>
        <w:t>Ulusal İklim Değişikliği Stratejisi (2010-2023) ve Eylem Planı (2011-2023)(revize ediliyor.)</w:t>
      </w:r>
    </w:p>
    <w:p w14:paraId="2435D1C9" w14:textId="79A84C28" w:rsidR="00DD2087" w:rsidRPr="00CD6718" w:rsidRDefault="00BB7D5D" w:rsidP="00CD6718">
      <w:pPr>
        <w:pStyle w:val="ListeParagraf"/>
        <w:numPr>
          <w:ilvl w:val="0"/>
          <w:numId w:val="2"/>
        </w:numPr>
        <w:jc w:val="both"/>
        <w:rPr>
          <w:rFonts w:asciiTheme="majorBidi" w:hAnsiTheme="majorBidi" w:cstheme="majorBidi"/>
        </w:rPr>
      </w:pPr>
      <w:r w:rsidRPr="00CD6718">
        <w:rPr>
          <w:rFonts w:asciiTheme="majorBidi" w:hAnsiTheme="majorBidi" w:cstheme="majorBidi"/>
        </w:rPr>
        <w:t>Ulusal Ulaştırma ve Lojistik Ana Planı (2053)</w:t>
      </w:r>
      <w:r w:rsidR="0083714B" w:rsidRPr="00CD6718">
        <w:rPr>
          <w:rFonts w:asciiTheme="majorBidi" w:hAnsiTheme="majorBidi" w:cstheme="majorBidi"/>
        </w:rPr>
        <w:t xml:space="preserve"> – </w:t>
      </w:r>
      <w:r w:rsidR="0083714B" w:rsidRPr="00CD6718">
        <w:rPr>
          <w:rFonts w:asciiTheme="majorBidi" w:hAnsiTheme="majorBidi" w:cstheme="majorBidi"/>
          <w:i/>
          <w:iCs/>
        </w:rPr>
        <w:t>28 Ocak 2023 tarihli Resmi Gazete’de yayımlandı.</w:t>
      </w:r>
    </w:p>
    <w:p w14:paraId="19A57387" w14:textId="34C84956" w:rsidR="00BB7D5D" w:rsidRPr="007B16A4" w:rsidRDefault="00613EB0" w:rsidP="00750352">
      <w:pPr>
        <w:pStyle w:val="ListeParagraf"/>
        <w:numPr>
          <w:ilvl w:val="0"/>
          <w:numId w:val="2"/>
        </w:numPr>
        <w:jc w:val="both"/>
        <w:rPr>
          <w:rFonts w:asciiTheme="majorBidi" w:hAnsiTheme="majorBidi" w:cstheme="majorBidi"/>
        </w:rPr>
      </w:pPr>
      <w:r w:rsidRPr="007B16A4">
        <w:rPr>
          <w:rFonts w:asciiTheme="majorBidi" w:hAnsiTheme="majorBidi" w:cstheme="majorBidi"/>
        </w:rPr>
        <w:t>Türkiye Yeşil Mutabakat Eylem Planı (2021)</w:t>
      </w:r>
    </w:p>
    <w:p w14:paraId="0E6FD2BF" w14:textId="34164CC2" w:rsidR="006C48D7" w:rsidRPr="007B16A4" w:rsidRDefault="006C48D7" w:rsidP="006C48D7">
      <w:pPr>
        <w:ind w:left="142" w:firstLine="567"/>
        <w:jc w:val="both"/>
        <w:rPr>
          <w:rFonts w:asciiTheme="majorBidi" w:hAnsiTheme="majorBidi" w:cstheme="majorBidi"/>
        </w:rPr>
      </w:pPr>
      <w:r w:rsidRPr="007B16A4">
        <w:rPr>
          <w:rFonts w:asciiTheme="majorBidi" w:hAnsiTheme="majorBidi" w:cstheme="majorBidi"/>
        </w:rPr>
        <w:t>Türkiye’nin iklim eylemlerini geliştirmek için hazırlanmakta olan ve mümkün olan en kısa sürede tamamlanması hedeflenen birincil mevzuat ve politika belgeleri aşağıdaki gibidir:</w:t>
      </w:r>
    </w:p>
    <w:p w14:paraId="425558F6" w14:textId="5F8630DB" w:rsidR="006C48D7" w:rsidRPr="007B16A4" w:rsidRDefault="006C48D7" w:rsidP="006C48D7">
      <w:pPr>
        <w:pStyle w:val="ListeParagraf"/>
        <w:numPr>
          <w:ilvl w:val="0"/>
          <w:numId w:val="3"/>
        </w:numPr>
        <w:ind w:left="851" w:hanging="284"/>
        <w:jc w:val="both"/>
        <w:rPr>
          <w:rFonts w:asciiTheme="majorBidi" w:hAnsiTheme="majorBidi" w:cstheme="majorBidi"/>
          <w:u w:val="single"/>
        </w:rPr>
      </w:pPr>
      <w:r w:rsidRPr="007B16A4">
        <w:rPr>
          <w:rFonts w:asciiTheme="majorBidi" w:hAnsiTheme="majorBidi" w:cstheme="majorBidi"/>
          <w:u w:val="single"/>
        </w:rPr>
        <w:t>On İkinci Kalkınma Planı (2024-2028)(hazırlanıyor.)</w:t>
      </w:r>
    </w:p>
    <w:p w14:paraId="282258B7" w14:textId="5B7CC23A" w:rsidR="006C48D7" w:rsidRPr="007B16A4" w:rsidRDefault="006C48D7"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Uzun Vadeli Düşük Emisyonlu Kalkınma Stratejisi (Uzun vadeli strateji)</w:t>
      </w:r>
    </w:p>
    <w:p w14:paraId="543CBE57" w14:textId="7B9FC781" w:rsidR="006C48D7" w:rsidRPr="007B16A4" w:rsidRDefault="006C48D7"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İklim Kanunu</w:t>
      </w:r>
    </w:p>
    <w:p w14:paraId="3F7498D3" w14:textId="33094A6E" w:rsidR="006C48D7" w:rsidRPr="007B16A4" w:rsidRDefault="00EE5847"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Yerel İklim Değişikliği Eylem Planı Yönetmeliği</w:t>
      </w:r>
    </w:p>
    <w:p w14:paraId="70C68304" w14:textId="6762DEBD" w:rsidR="00EE5847" w:rsidRPr="007B16A4" w:rsidRDefault="00EE5847"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Uzun Vadeli İklim Değişikliği Stratejisi</w:t>
      </w:r>
    </w:p>
    <w:p w14:paraId="67E8C7B2" w14:textId="7FC586BC" w:rsidR="00EE5847" w:rsidRPr="007B16A4" w:rsidRDefault="00323B62"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Döngüsel Ekonomi Stratejisi ve Eylem Planı</w:t>
      </w:r>
    </w:p>
    <w:p w14:paraId="508379CC" w14:textId="2402C479" w:rsidR="00B41B7F" w:rsidRPr="007B16A4" w:rsidRDefault="00B41B7F"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Sürdürülebilir Tüketim ve Üretim Stratejisi</w:t>
      </w:r>
    </w:p>
    <w:p w14:paraId="188C1971" w14:textId="40CF749F" w:rsidR="00B41B7F" w:rsidRPr="007B16A4" w:rsidRDefault="00B81FAD" w:rsidP="006C48D7">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Yeşil Büyüme Teknoloji Yol Haritası</w:t>
      </w:r>
    </w:p>
    <w:p w14:paraId="017CA92E" w14:textId="5C6F1EB9" w:rsidR="00B81FAD" w:rsidRPr="007B16A4" w:rsidRDefault="00823B02" w:rsidP="006C48D7">
      <w:pPr>
        <w:pStyle w:val="ListeParagraf"/>
        <w:numPr>
          <w:ilvl w:val="0"/>
          <w:numId w:val="3"/>
        </w:numPr>
        <w:ind w:left="851" w:hanging="284"/>
        <w:jc w:val="both"/>
        <w:rPr>
          <w:rFonts w:asciiTheme="majorBidi" w:hAnsiTheme="majorBidi" w:cstheme="majorBidi"/>
          <w:u w:val="single"/>
        </w:rPr>
      </w:pPr>
      <w:r w:rsidRPr="007B16A4">
        <w:rPr>
          <w:rFonts w:asciiTheme="majorBidi" w:hAnsiTheme="majorBidi" w:cstheme="majorBidi"/>
          <w:u w:val="single"/>
        </w:rPr>
        <w:t>İkincil ETS Mevzuatı</w:t>
      </w:r>
    </w:p>
    <w:p w14:paraId="66BD570B" w14:textId="6CE34DF6" w:rsidR="00DB5843" w:rsidRDefault="00D06BA0" w:rsidP="001E410F">
      <w:pPr>
        <w:pStyle w:val="ListeParagraf"/>
        <w:numPr>
          <w:ilvl w:val="0"/>
          <w:numId w:val="3"/>
        </w:numPr>
        <w:ind w:left="851" w:hanging="284"/>
        <w:jc w:val="both"/>
        <w:rPr>
          <w:rFonts w:asciiTheme="majorBidi" w:hAnsiTheme="majorBidi" w:cstheme="majorBidi"/>
        </w:rPr>
      </w:pPr>
      <w:r w:rsidRPr="007B16A4">
        <w:rPr>
          <w:rFonts w:asciiTheme="majorBidi" w:hAnsiTheme="majorBidi" w:cstheme="majorBidi"/>
        </w:rPr>
        <w:t>Çelik, Alüminyum ve Çimento sektörleri için Sıfır Karbonlu Yol Haritası</w:t>
      </w:r>
    </w:p>
    <w:p w14:paraId="74CFC8CC" w14:textId="77777777" w:rsidR="007B16A4" w:rsidRDefault="007B16A4" w:rsidP="007B16A4">
      <w:pPr>
        <w:jc w:val="both"/>
        <w:rPr>
          <w:rFonts w:asciiTheme="majorBidi" w:hAnsiTheme="majorBidi" w:cstheme="majorBidi"/>
        </w:rPr>
      </w:pPr>
    </w:p>
    <w:p w14:paraId="02077DDE" w14:textId="77777777" w:rsidR="007B16A4" w:rsidRDefault="007B16A4" w:rsidP="007B16A4">
      <w:pPr>
        <w:jc w:val="both"/>
        <w:rPr>
          <w:rFonts w:asciiTheme="majorBidi" w:hAnsiTheme="majorBidi" w:cstheme="majorBidi"/>
        </w:rPr>
      </w:pPr>
    </w:p>
    <w:p w14:paraId="2F519F37" w14:textId="77777777" w:rsidR="007B16A4" w:rsidRDefault="007B16A4" w:rsidP="007B16A4">
      <w:pPr>
        <w:jc w:val="both"/>
        <w:rPr>
          <w:rFonts w:asciiTheme="majorBidi" w:hAnsiTheme="majorBidi" w:cstheme="majorBidi"/>
        </w:rPr>
      </w:pPr>
    </w:p>
    <w:p w14:paraId="1BD591B1" w14:textId="77777777" w:rsidR="007B16A4" w:rsidRPr="007B16A4" w:rsidRDefault="007B16A4" w:rsidP="007B16A4">
      <w:pPr>
        <w:jc w:val="both"/>
        <w:rPr>
          <w:rFonts w:asciiTheme="majorBidi" w:hAnsiTheme="majorBidi" w:cstheme="majorBidi"/>
        </w:rPr>
      </w:pPr>
    </w:p>
    <w:p w14:paraId="1A42D9D2" w14:textId="7D96F334" w:rsidR="00DB5843" w:rsidRPr="007B16A4" w:rsidRDefault="00DB5843" w:rsidP="00DB5843">
      <w:pPr>
        <w:pStyle w:val="ListeParagraf"/>
        <w:numPr>
          <w:ilvl w:val="0"/>
          <w:numId w:val="1"/>
        </w:numPr>
        <w:ind w:left="993"/>
        <w:jc w:val="both"/>
        <w:rPr>
          <w:rFonts w:asciiTheme="majorBidi" w:hAnsiTheme="majorBidi" w:cstheme="majorBidi"/>
        </w:rPr>
      </w:pPr>
      <w:r w:rsidRPr="007B16A4">
        <w:rPr>
          <w:rFonts w:asciiTheme="majorBidi" w:hAnsiTheme="majorBidi" w:cstheme="majorBidi"/>
          <w:b/>
          <w:bCs/>
        </w:rPr>
        <w:lastRenderedPageBreak/>
        <w:t>Türkiye’nin Yeşil Mutabakat Eylem Planı (YMEP)</w:t>
      </w:r>
    </w:p>
    <w:p w14:paraId="6563D30E" w14:textId="38D7FD51" w:rsidR="0068185C" w:rsidRPr="007B16A4" w:rsidRDefault="0068185C" w:rsidP="00973D24">
      <w:pPr>
        <w:ind w:firstLine="633"/>
        <w:jc w:val="both"/>
        <w:rPr>
          <w:rFonts w:asciiTheme="majorBidi" w:hAnsiTheme="majorBidi" w:cstheme="majorBidi"/>
          <w:u w:val="single"/>
        </w:rPr>
      </w:pPr>
      <w:r w:rsidRPr="007B16A4">
        <w:rPr>
          <w:rFonts w:asciiTheme="majorBidi" w:hAnsiTheme="majorBidi" w:cstheme="majorBidi"/>
          <w:u w:val="single"/>
        </w:rPr>
        <w:t xml:space="preserve">Dokuz ana başlık altında 32 hedef ve 81 eylem içeren Eylem Planı, Türkiye’de </w:t>
      </w:r>
      <w:r w:rsidR="007C2014" w:rsidRPr="007B16A4">
        <w:rPr>
          <w:rFonts w:asciiTheme="majorBidi" w:hAnsiTheme="majorBidi" w:cstheme="majorBidi"/>
          <w:u w:val="single"/>
        </w:rPr>
        <w:t xml:space="preserve">endüstrilerin Yeşil Dönüşümü ve özellikle ticaret ve sanayiye ilişkin </w:t>
      </w:r>
      <w:r w:rsidR="00574D58" w:rsidRPr="007B16A4">
        <w:rPr>
          <w:rFonts w:asciiTheme="majorBidi" w:hAnsiTheme="majorBidi" w:cstheme="majorBidi"/>
          <w:u w:val="single"/>
        </w:rPr>
        <w:t>alanlarda önlemlerin kabul edilmesi üzerinde durmaktadır.</w:t>
      </w:r>
      <w:r w:rsidR="00EF2F30" w:rsidRPr="007B16A4">
        <w:rPr>
          <w:rFonts w:asciiTheme="majorBidi" w:hAnsiTheme="majorBidi" w:cstheme="majorBidi"/>
          <w:u w:val="single"/>
        </w:rPr>
        <w:t xml:space="preserve">  </w:t>
      </w:r>
    </w:p>
    <w:p w14:paraId="0428A8CB" w14:textId="33EA0E6A" w:rsidR="0086497A" w:rsidRPr="007B16A4" w:rsidRDefault="0086497A" w:rsidP="00973D24">
      <w:pPr>
        <w:ind w:firstLine="633"/>
        <w:jc w:val="both"/>
        <w:rPr>
          <w:rFonts w:asciiTheme="majorBidi" w:hAnsiTheme="majorBidi" w:cstheme="majorBidi"/>
        </w:rPr>
      </w:pPr>
      <w:r w:rsidRPr="007B16A4">
        <w:rPr>
          <w:rFonts w:asciiTheme="majorBidi" w:hAnsiTheme="majorBidi" w:cstheme="majorBidi"/>
        </w:rPr>
        <w:t xml:space="preserve">Türkiye’de yeşil mali ekosistemin geliştirilmesine yönelik </w:t>
      </w:r>
      <w:r w:rsidR="00E103BD" w:rsidRPr="007B16A4">
        <w:rPr>
          <w:rFonts w:asciiTheme="majorBidi" w:hAnsiTheme="majorBidi" w:cstheme="majorBidi"/>
        </w:rPr>
        <w:t xml:space="preserve">çok sayıda gelişme yaşanmıştır. </w:t>
      </w:r>
      <w:r w:rsidR="00D86ABA" w:rsidRPr="007B16A4">
        <w:rPr>
          <w:rFonts w:asciiTheme="majorBidi" w:hAnsiTheme="majorBidi" w:cstheme="majorBidi"/>
        </w:rPr>
        <w:t>Bunların arasındaki en önemli gelişmelerden birisi</w:t>
      </w:r>
      <w:r w:rsidR="00DA79AD" w:rsidRPr="007B16A4">
        <w:rPr>
          <w:rFonts w:asciiTheme="majorBidi" w:hAnsiTheme="majorBidi" w:cstheme="majorBidi"/>
        </w:rPr>
        <w:t xml:space="preserve"> de</w:t>
      </w:r>
      <w:r w:rsidR="00D86ABA" w:rsidRPr="007B16A4">
        <w:rPr>
          <w:rFonts w:asciiTheme="majorBidi" w:hAnsiTheme="majorBidi" w:cstheme="majorBidi"/>
        </w:rPr>
        <w:t xml:space="preserve"> “</w:t>
      </w:r>
      <w:r w:rsidR="00D86ABA" w:rsidRPr="007B16A4">
        <w:rPr>
          <w:rFonts w:asciiTheme="majorBidi" w:hAnsiTheme="majorBidi" w:cstheme="majorBidi"/>
          <w:b/>
          <w:bCs/>
        </w:rPr>
        <w:t>2022-2025 Sürdürülebilir Bankacılık Stratejik Planı</w:t>
      </w:r>
      <w:r w:rsidR="00D86ABA" w:rsidRPr="007B16A4">
        <w:rPr>
          <w:rFonts w:asciiTheme="majorBidi" w:hAnsiTheme="majorBidi" w:cstheme="majorBidi"/>
        </w:rPr>
        <w:t>”dır.</w:t>
      </w:r>
    </w:p>
    <w:p w14:paraId="0E8250E5" w14:textId="3BF1B576" w:rsidR="005F61F5" w:rsidRPr="007B16A4" w:rsidRDefault="005F61F5" w:rsidP="00973D24">
      <w:pPr>
        <w:ind w:firstLine="633"/>
        <w:jc w:val="both"/>
        <w:rPr>
          <w:rFonts w:asciiTheme="majorBidi" w:hAnsiTheme="majorBidi" w:cstheme="majorBidi"/>
          <w:b/>
          <w:bCs/>
        </w:rPr>
      </w:pPr>
      <w:r w:rsidRPr="007B16A4">
        <w:rPr>
          <w:rFonts w:asciiTheme="majorBidi" w:hAnsiTheme="majorBidi" w:cstheme="majorBidi"/>
          <w:b/>
          <w:bCs/>
        </w:rPr>
        <w:t>TÜRKİYE’NİN AZALTIM POLİTİKALARI</w:t>
      </w:r>
    </w:p>
    <w:p w14:paraId="459D5CB3" w14:textId="2BA2229C" w:rsidR="0035584C" w:rsidRPr="007B16A4" w:rsidRDefault="0035584C" w:rsidP="00973D24">
      <w:pPr>
        <w:ind w:firstLine="633"/>
        <w:jc w:val="both"/>
        <w:rPr>
          <w:rFonts w:asciiTheme="majorBidi" w:hAnsiTheme="majorBidi" w:cstheme="majorBidi"/>
          <w:u w:val="single"/>
        </w:rPr>
      </w:pPr>
      <w:r w:rsidRPr="007B16A4">
        <w:rPr>
          <w:rFonts w:asciiTheme="majorBidi" w:hAnsiTheme="majorBidi" w:cstheme="majorBidi"/>
          <w:u w:val="single"/>
        </w:rPr>
        <w:t xml:space="preserve">Türkiye, küresel eğilimler ışığında gelecekteki karbon fiyatlandırma </w:t>
      </w:r>
      <w:r w:rsidR="002428CA" w:rsidRPr="007B16A4">
        <w:rPr>
          <w:rFonts w:asciiTheme="majorBidi" w:hAnsiTheme="majorBidi" w:cstheme="majorBidi"/>
          <w:u w:val="single"/>
        </w:rPr>
        <w:t>politikalarına yönelik altyapıyı oluştur</w:t>
      </w:r>
      <w:r w:rsidR="00AD6D4F" w:rsidRPr="007B16A4">
        <w:rPr>
          <w:rFonts w:asciiTheme="majorBidi" w:hAnsiTheme="majorBidi" w:cstheme="majorBidi"/>
          <w:u w:val="single"/>
        </w:rPr>
        <w:t>abilmek amacıyla izleme, raporlama ve doğrulama (İRD) sistemini geliştirmiştir.</w:t>
      </w:r>
      <w:r w:rsidR="006C240A" w:rsidRPr="007B16A4">
        <w:rPr>
          <w:rFonts w:asciiTheme="majorBidi" w:hAnsiTheme="majorBidi" w:cstheme="majorBidi"/>
          <w:u w:val="single"/>
        </w:rPr>
        <w:t xml:space="preserve"> Türkiye’de İRD sistemine ilişkin yayınlanmış ilk yönetmelik olan “Sera Gazı Emisyonlarının Takibi Hakkında Yönetmelik” </w:t>
      </w:r>
      <w:r w:rsidR="00B059FF" w:rsidRPr="007B16A4">
        <w:rPr>
          <w:rFonts w:asciiTheme="majorBidi" w:hAnsiTheme="majorBidi" w:cstheme="majorBidi"/>
          <w:u w:val="single"/>
        </w:rPr>
        <w:t>2012’de yayınlanmış ve 2014’te revize edilmiştir. Yönetmelik</w:t>
      </w:r>
      <w:r w:rsidR="00A77755" w:rsidRPr="007B16A4">
        <w:rPr>
          <w:rFonts w:asciiTheme="majorBidi" w:hAnsiTheme="majorBidi" w:cstheme="majorBidi"/>
          <w:u w:val="single"/>
        </w:rPr>
        <w:t xml:space="preserve">, </w:t>
      </w:r>
      <w:r w:rsidR="006D6645" w:rsidRPr="007B16A4">
        <w:rPr>
          <w:rFonts w:asciiTheme="majorBidi" w:hAnsiTheme="majorBidi" w:cstheme="majorBidi"/>
          <w:u w:val="single"/>
        </w:rPr>
        <w:t>Avrupa Birliği Emisyon Ticaret Sistemi (ETS) ile uyumludur.</w:t>
      </w:r>
    </w:p>
    <w:p w14:paraId="64463257" w14:textId="18E646CC" w:rsidR="00A431D6" w:rsidRPr="007B16A4" w:rsidRDefault="00A431D6" w:rsidP="00973D24">
      <w:pPr>
        <w:ind w:firstLine="633"/>
        <w:jc w:val="both"/>
        <w:rPr>
          <w:rFonts w:asciiTheme="majorBidi" w:hAnsiTheme="majorBidi" w:cstheme="majorBidi"/>
        </w:rPr>
      </w:pPr>
      <w:r w:rsidRPr="007B16A4">
        <w:rPr>
          <w:rFonts w:asciiTheme="majorBidi" w:hAnsiTheme="majorBidi" w:cstheme="majorBidi"/>
        </w:rPr>
        <w:t xml:space="preserve">Türkiye’nin toplam sera gazı emisyonlarının yaklaşık %50’sinden sorumlu olan 700’ü aşkın tesis, izleme planlarını sunmuştur ve 2015’ten bu yana izlenmektedir. </w:t>
      </w:r>
    </w:p>
    <w:p w14:paraId="6F1D71DE" w14:textId="6219B0B1" w:rsidR="00FC3983" w:rsidRPr="007B16A4" w:rsidRDefault="00FC3983" w:rsidP="00973D24">
      <w:pPr>
        <w:ind w:firstLine="633"/>
        <w:jc w:val="both"/>
        <w:rPr>
          <w:rFonts w:asciiTheme="majorBidi" w:hAnsiTheme="majorBidi" w:cstheme="majorBidi"/>
          <w:u w:val="single"/>
        </w:rPr>
      </w:pPr>
      <w:r w:rsidRPr="007B16A4">
        <w:rPr>
          <w:rFonts w:asciiTheme="majorBidi" w:hAnsiTheme="majorBidi" w:cstheme="majorBidi"/>
          <w:u w:val="single"/>
        </w:rPr>
        <w:t xml:space="preserve">Karbon fiyatlandırma araçları, maliyet verimli azaltım politikaları olarak kabul edilmektedir. </w:t>
      </w:r>
      <w:r w:rsidR="00066CEA" w:rsidRPr="007B16A4">
        <w:rPr>
          <w:rFonts w:asciiTheme="majorBidi" w:hAnsiTheme="majorBidi" w:cstheme="majorBidi"/>
          <w:u w:val="single"/>
        </w:rPr>
        <w:t xml:space="preserve">Bu bağlamda, Uzun Vadeli Program (2023-2025) ve Türkiye’nin </w:t>
      </w:r>
      <w:r w:rsidR="00E80207" w:rsidRPr="007B16A4">
        <w:rPr>
          <w:rFonts w:asciiTheme="majorBidi" w:hAnsiTheme="majorBidi" w:cstheme="majorBidi"/>
          <w:u w:val="single"/>
        </w:rPr>
        <w:t>Yeşil Mutabakat Eylem Planı’nda tamamlanan hedeflerden biri Türkiye’de Emisyon Ticaret Sistemi (ETS)’nin oluşturulmasıdır.</w:t>
      </w:r>
    </w:p>
    <w:p w14:paraId="406ABCAC" w14:textId="2D88B24D" w:rsidR="00DC3F8A" w:rsidRPr="007B16A4" w:rsidRDefault="00DC3F8A" w:rsidP="00973D24">
      <w:pPr>
        <w:ind w:firstLine="633"/>
        <w:jc w:val="both"/>
        <w:rPr>
          <w:rFonts w:asciiTheme="majorBidi" w:hAnsiTheme="majorBidi" w:cstheme="majorBidi"/>
          <w:b/>
          <w:bCs/>
          <w:u w:val="single"/>
        </w:rPr>
      </w:pPr>
      <w:r w:rsidRPr="007B16A4">
        <w:rPr>
          <w:rFonts w:asciiTheme="majorBidi" w:hAnsiTheme="majorBidi" w:cstheme="majorBidi"/>
          <w:b/>
          <w:bCs/>
          <w:u w:val="single"/>
        </w:rPr>
        <w:t>Enerji Sektörü</w:t>
      </w:r>
      <w:r w:rsidR="00331DC9" w:rsidRPr="007B16A4">
        <w:rPr>
          <w:rFonts w:asciiTheme="majorBidi" w:hAnsiTheme="majorBidi" w:cstheme="majorBidi"/>
          <w:b/>
          <w:bCs/>
          <w:u w:val="single"/>
        </w:rPr>
        <w:t xml:space="preserve"> Azaltım Politikaları</w:t>
      </w:r>
    </w:p>
    <w:p w14:paraId="7401D80F" w14:textId="606D3870" w:rsidR="00B00E52" w:rsidRPr="007B16A4" w:rsidRDefault="00CA4EB4" w:rsidP="00973D24">
      <w:pPr>
        <w:ind w:firstLine="633"/>
        <w:jc w:val="both"/>
        <w:rPr>
          <w:rFonts w:asciiTheme="majorBidi" w:hAnsiTheme="majorBidi" w:cstheme="majorBidi"/>
        </w:rPr>
      </w:pPr>
      <w:r w:rsidRPr="007B16A4">
        <w:rPr>
          <w:rFonts w:asciiTheme="majorBidi" w:hAnsiTheme="majorBidi" w:cstheme="majorBidi"/>
        </w:rPr>
        <w:t xml:space="preserve">Birçok diğer ülkede olduğu gibi enerji sektörü, diğer sektörlere kıyasla en yüksek sera gazı emisyonuna sahiptir. </w:t>
      </w:r>
      <w:r w:rsidR="004D422F" w:rsidRPr="007B16A4">
        <w:rPr>
          <w:rFonts w:asciiTheme="majorBidi" w:hAnsiTheme="majorBidi" w:cstheme="majorBidi"/>
        </w:rPr>
        <w:t xml:space="preserve">Ülkenin enerji politikası, arz güvenliği artırılarak ithalata bağımlılık azaltılırken diğer yandan yenilenebilir enerji kaynaklarının azami düzeyde kullanımına öncelik verilmiştir. </w:t>
      </w:r>
      <w:r w:rsidR="004E08D5" w:rsidRPr="007B16A4">
        <w:rPr>
          <w:rFonts w:asciiTheme="majorBidi" w:hAnsiTheme="majorBidi" w:cstheme="majorBidi"/>
        </w:rPr>
        <w:t xml:space="preserve">Türkiye’nin 2030’a yönelik ana azaltım politikası, enerji verimliliğinin ve yenilenebilirlik potansiyelinin </w:t>
      </w:r>
      <w:r w:rsidR="00443EED" w:rsidRPr="007B16A4">
        <w:rPr>
          <w:rFonts w:asciiTheme="majorBidi" w:hAnsiTheme="majorBidi" w:cstheme="majorBidi"/>
        </w:rPr>
        <w:t>fizibilite, piyasa koşulları ve enerji güvenliği de gözetilerek mümkün olan en üst düzeyde kullanılmasıdır.</w:t>
      </w:r>
    </w:p>
    <w:p w14:paraId="61C3DC0E" w14:textId="1BA73D9B" w:rsidR="004034C5" w:rsidRPr="007B16A4" w:rsidRDefault="004034C5" w:rsidP="00973D24">
      <w:pPr>
        <w:ind w:firstLine="633"/>
        <w:jc w:val="both"/>
        <w:rPr>
          <w:rFonts w:asciiTheme="majorBidi" w:hAnsiTheme="majorBidi" w:cstheme="majorBidi"/>
        </w:rPr>
      </w:pPr>
      <w:r w:rsidRPr="007B16A4">
        <w:rPr>
          <w:rFonts w:asciiTheme="majorBidi" w:hAnsiTheme="majorBidi" w:cstheme="majorBidi"/>
        </w:rPr>
        <w:t xml:space="preserve">Eylül 2022 itibarıyla, Türkiye toplam 102.281 MW kurulu kapasiteye sahiptir. 55.630 MW ile yenilenebilir enerji kaynakları, Türkiye’de elektrik üretimine yönelik kurulu güç kapasitesinin %54’ünü oluşturmaktadır. </w:t>
      </w:r>
      <w:r w:rsidR="00D3615C" w:rsidRPr="007B16A4">
        <w:rPr>
          <w:rFonts w:asciiTheme="majorBidi" w:hAnsiTheme="majorBidi" w:cstheme="majorBidi"/>
          <w:u w:val="single"/>
        </w:rPr>
        <w:t>Türkiye bu yıl 100.000 MW’nin üzerinde kurulu güce sahip 14 ülkeden biri olmuştur.</w:t>
      </w:r>
      <w:r w:rsidR="00117B5C" w:rsidRPr="007B16A4">
        <w:rPr>
          <w:rFonts w:asciiTheme="majorBidi" w:hAnsiTheme="majorBidi" w:cstheme="majorBidi"/>
        </w:rPr>
        <w:t xml:space="preserve"> </w:t>
      </w:r>
      <w:r w:rsidR="00117B5C" w:rsidRPr="007B16A4">
        <w:rPr>
          <w:rFonts w:asciiTheme="majorBidi" w:hAnsiTheme="majorBidi" w:cstheme="majorBidi"/>
          <w:u w:val="single"/>
        </w:rPr>
        <w:t xml:space="preserve">Son iki yıl içerisinde devreye alınan enerji kaynaklarının </w:t>
      </w:r>
      <w:r w:rsidR="00FD6FE9" w:rsidRPr="007B16A4">
        <w:rPr>
          <w:rFonts w:asciiTheme="majorBidi" w:hAnsiTheme="majorBidi" w:cstheme="majorBidi"/>
          <w:u w:val="single"/>
        </w:rPr>
        <w:t>%97’sini yenilenebilir kaynaklar, geri kalanını ise birleşik enerji üretimi (kojenerasyon) oluşturmaktadır.</w:t>
      </w:r>
    </w:p>
    <w:p w14:paraId="5BEA3A09" w14:textId="3DA381FE" w:rsidR="00491C89" w:rsidRPr="007B16A4" w:rsidRDefault="00491C89" w:rsidP="00973D24">
      <w:pPr>
        <w:ind w:firstLine="633"/>
        <w:jc w:val="both"/>
        <w:rPr>
          <w:rFonts w:asciiTheme="majorBidi" w:hAnsiTheme="majorBidi" w:cstheme="majorBidi"/>
          <w:u w:val="single"/>
        </w:rPr>
      </w:pPr>
      <w:r w:rsidRPr="007B16A4">
        <w:rPr>
          <w:rFonts w:asciiTheme="majorBidi" w:hAnsiTheme="majorBidi" w:cstheme="majorBidi"/>
          <w:u w:val="single"/>
        </w:rPr>
        <w:t>Uluslararası Enerji Ajansı, 2022 Yenilenebilir Enerji İstatistikleri’ne göre Türkiye, dünyada enerji kazanım sistemleri en yoğun ikinci ülkedir.</w:t>
      </w:r>
    </w:p>
    <w:p w14:paraId="00B257F9" w14:textId="4B9D5900" w:rsidR="006D581A" w:rsidRPr="007B16A4" w:rsidRDefault="006D581A" w:rsidP="00973D24">
      <w:pPr>
        <w:ind w:firstLine="633"/>
        <w:jc w:val="both"/>
        <w:rPr>
          <w:rFonts w:asciiTheme="majorBidi" w:hAnsiTheme="majorBidi" w:cstheme="majorBidi"/>
          <w:b/>
          <w:bCs/>
          <w:u w:val="single"/>
        </w:rPr>
      </w:pPr>
      <w:r w:rsidRPr="007B16A4">
        <w:rPr>
          <w:rFonts w:asciiTheme="majorBidi" w:hAnsiTheme="majorBidi" w:cstheme="majorBidi"/>
          <w:b/>
          <w:bCs/>
          <w:u w:val="single"/>
        </w:rPr>
        <w:t>Sanayi Sektörü</w:t>
      </w:r>
      <w:r w:rsidR="00A15467" w:rsidRPr="007B16A4">
        <w:rPr>
          <w:rFonts w:asciiTheme="majorBidi" w:hAnsiTheme="majorBidi" w:cstheme="majorBidi"/>
          <w:b/>
          <w:bCs/>
          <w:u w:val="single"/>
        </w:rPr>
        <w:t xml:space="preserve"> Azaltım Politikaları</w:t>
      </w:r>
    </w:p>
    <w:p w14:paraId="4BEEEF8A" w14:textId="591B14C0" w:rsidR="006D581A" w:rsidRPr="007B16A4" w:rsidRDefault="002D4996" w:rsidP="002907AA">
      <w:pPr>
        <w:ind w:firstLine="633"/>
        <w:jc w:val="both"/>
        <w:rPr>
          <w:rFonts w:asciiTheme="majorBidi" w:hAnsiTheme="majorBidi" w:cstheme="majorBidi"/>
        </w:rPr>
      </w:pPr>
      <w:r w:rsidRPr="007B16A4">
        <w:rPr>
          <w:rFonts w:asciiTheme="majorBidi" w:hAnsiTheme="majorBidi" w:cstheme="majorBidi"/>
        </w:rPr>
        <w:t xml:space="preserve">Türkiye’nin sanayi politikaları yeşil dönüşümü desteklemekte; enerji ve kaynak verimliliğini ve alternatif yakıtlar ile hammaddelerin kullanımını artırmakta; yenilenebilir enerji kullanımını teşvik etmekte ve sanayide temiz teknolojileri yaygınlaştırmaktadır. </w:t>
      </w:r>
      <w:r w:rsidR="009763CD" w:rsidRPr="007B16A4">
        <w:rPr>
          <w:rFonts w:asciiTheme="majorBidi" w:hAnsiTheme="majorBidi" w:cstheme="majorBidi"/>
        </w:rPr>
        <w:t>Bunun yanında, sanayi sektöründe yeşil üretimin artırılması ve belirlenen teknolojilerin geliştirilmesine yönelik Ar-Ge çalışmalarının desteklenmesi için ihtiyaç duyulan teknolojileri tespit etmek üzere “Yeşil Büyüme Teknoloji Yol Haritası” hazırlanmaktadır.</w:t>
      </w:r>
    </w:p>
    <w:p w14:paraId="43B5A301" w14:textId="18954591" w:rsidR="007C4514" w:rsidRPr="007B16A4" w:rsidRDefault="007C4514" w:rsidP="002907AA">
      <w:pPr>
        <w:ind w:firstLine="633"/>
        <w:jc w:val="both"/>
        <w:rPr>
          <w:rFonts w:asciiTheme="majorBidi" w:hAnsiTheme="majorBidi" w:cstheme="majorBidi"/>
        </w:rPr>
      </w:pPr>
      <w:r w:rsidRPr="007B16A4">
        <w:rPr>
          <w:rFonts w:asciiTheme="majorBidi" w:hAnsiTheme="majorBidi" w:cstheme="majorBidi"/>
        </w:rPr>
        <w:t>Türkiye’nin 2030 yılı için sanayi sektörüne yönelik azaltım politikaları:</w:t>
      </w:r>
    </w:p>
    <w:p w14:paraId="1270E5C9" w14:textId="63D8A2EF" w:rsidR="007C4514" w:rsidRPr="007B16A4" w:rsidRDefault="003C7F07" w:rsidP="002907AA">
      <w:pPr>
        <w:pStyle w:val="ListeParagraf"/>
        <w:numPr>
          <w:ilvl w:val="0"/>
          <w:numId w:val="4"/>
        </w:numPr>
        <w:ind w:left="709" w:hanging="425"/>
        <w:jc w:val="both"/>
        <w:rPr>
          <w:rFonts w:asciiTheme="majorBidi" w:hAnsiTheme="majorBidi" w:cstheme="majorBidi"/>
        </w:rPr>
      </w:pPr>
      <w:r w:rsidRPr="007B16A4">
        <w:rPr>
          <w:rFonts w:asciiTheme="majorBidi" w:hAnsiTheme="majorBidi" w:cstheme="majorBidi"/>
        </w:rPr>
        <w:t>Endüstriyel tesislerde biyoyakıt, atıktan türetilmiş yakıt (RDF), alternatif yakıt ve hammaddelerin kullanılması,</w:t>
      </w:r>
    </w:p>
    <w:p w14:paraId="6A0D3B73" w14:textId="447B9B61" w:rsidR="003C7F07" w:rsidRPr="007B16A4" w:rsidRDefault="00FA5CC4" w:rsidP="002907AA">
      <w:pPr>
        <w:pStyle w:val="ListeParagraf"/>
        <w:numPr>
          <w:ilvl w:val="0"/>
          <w:numId w:val="4"/>
        </w:numPr>
        <w:ind w:left="709" w:hanging="425"/>
        <w:jc w:val="both"/>
        <w:rPr>
          <w:rFonts w:asciiTheme="majorBidi" w:hAnsiTheme="majorBidi" w:cstheme="majorBidi"/>
        </w:rPr>
      </w:pPr>
      <w:r w:rsidRPr="007B16A4">
        <w:rPr>
          <w:rFonts w:asciiTheme="majorBidi" w:hAnsiTheme="majorBidi" w:cstheme="majorBidi"/>
        </w:rPr>
        <w:lastRenderedPageBreak/>
        <w:t xml:space="preserve">Ülke ekonomisi açısından kritik önem taşıyan ve karbon emisyonu yüksek olan demir-çelik, alüminyum, çimento, kimyasal, plastik ve gübre sektörlerine yönelik </w:t>
      </w:r>
      <w:r w:rsidRPr="007B16A4">
        <w:rPr>
          <w:rFonts w:asciiTheme="majorBidi" w:hAnsiTheme="majorBidi" w:cstheme="majorBidi"/>
          <w:b/>
          <w:bCs/>
        </w:rPr>
        <w:t>Yeşil Büyüme Teknoloji Yol Haritası</w:t>
      </w:r>
      <w:r w:rsidRPr="007B16A4">
        <w:rPr>
          <w:rFonts w:asciiTheme="majorBidi" w:hAnsiTheme="majorBidi" w:cstheme="majorBidi"/>
        </w:rPr>
        <w:t xml:space="preserve"> çalışmalarının yapılması,</w:t>
      </w:r>
    </w:p>
    <w:p w14:paraId="56BBEF29" w14:textId="5AED0A00" w:rsidR="00542170" w:rsidRPr="007B16A4" w:rsidRDefault="00542170" w:rsidP="002907AA">
      <w:pPr>
        <w:pStyle w:val="ListeParagraf"/>
        <w:numPr>
          <w:ilvl w:val="0"/>
          <w:numId w:val="4"/>
        </w:numPr>
        <w:ind w:left="709" w:hanging="425"/>
        <w:jc w:val="both"/>
        <w:rPr>
          <w:rFonts w:asciiTheme="majorBidi" w:hAnsiTheme="majorBidi" w:cstheme="majorBidi"/>
        </w:rPr>
      </w:pPr>
      <w:r w:rsidRPr="007B16A4">
        <w:rPr>
          <w:rFonts w:asciiTheme="majorBidi" w:hAnsiTheme="majorBidi" w:cstheme="majorBidi"/>
        </w:rPr>
        <w:t>Temiz ve yeşil endüstriyel üretimin göstergesi olarak, “Mevcut En İyi Teknikleri” kullanan endüstriyel tesislerin belgelendirilmesine öncelik vererek “Sanayide Yeşil Dönüşüm”ü desteklemek.</w:t>
      </w:r>
    </w:p>
    <w:p w14:paraId="53B03B5C" w14:textId="0878EFBC" w:rsidR="00272500" w:rsidRPr="007B16A4" w:rsidRDefault="00272500" w:rsidP="002907AA">
      <w:pPr>
        <w:ind w:firstLine="284"/>
        <w:jc w:val="both"/>
        <w:rPr>
          <w:rFonts w:asciiTheme="majorBidi" w:hAnsiTheme="majorBidi" w:cstheme="majorBidi"/>
          <w:b/>
          <w:bCs/>
          <w:u w:val="single"/>
        </w:rPr>
      </w:pPr>
      <w:r w:rsidRPr="00CD6718">
        <w:rPr>
          <w:rFonts w:asciiTheme="majorBidi" w:hAnsiTheme="majorBidi" w:cstheme="majorBidi"/>
          <w:b/>
          <w:bCs/>
          <w:u w:val="single"/>
        </w:rPr>
        <w:t>Ulaştırma Sektörü</w:t>
      </w:r>
      <w:r w:rsidR="007531B3" w:rsidRPr="00CD6718">
        <w:rPr>
          <w:rFonts w:asciiTheme="majorBidi" w:hAnsiTheme="majorBidi" w:cstheme="majorBidi"/>
          <w:b/>
          <w:bCs/>
          <w:u w:val="single"/>
        </w:rPr>
        <w:t xml:space="preserve"> Azaltım Politikaları</w:t>
      </w:r>
    </w:p>
    <w:p w14:paraId="3BE04C40" w14:textId="4BF97AF5" w:rsidR="00272500" w:rsidRPr="007B16A4" w:rsidRDefault="00296E28" w:rsidP="002907AA">
      <w:pPr>
        <w:jc w:val="both"/>
        <w:rPr>
          <w:rFonts w:asciiTheme="majorBidi" w:hAnsiTheme="majorBidi" w:cstheme="majorBidi"/>
        </w:rPr>
      </w:pPr>
      <w:r w:rsidRPr="007B16A4">
        <w:rPr>
          <w:rFonts w:asciiTheme="majorBidi" w:hAnsiTheme="majorBidi" w:cstheme="majorBidi"/>
          <w:b/>
          <w:bCs/>
        </w:rPr>
        <w:tab/>
      </w:r>
      <w:r w:rsidRPr="007B16A4">
        <w:rPr>
          <w:rFonts w:asciiTheme="majorBidi" w:hAnsiTheme="majorBidi" w:cstheme="majorBidi"/>
        </w:rPr>
        <w:t>Türkiye’nin 2030 yılı için ulaştırma sektörüne yönelik temel azaltım politikaları aşağıdaki gibidir:</w:t>
      </w:r>
    </w:p>
    <w:p w14:paraId="31FA5BBB" w14:textId="16FC6984" w:rsidR="00296E28" w:rsidRPr="007B16A4" w:rsidRDefault="00046980" w:rsidP="002907AA">
      <w:pPr>
        <w:pStyle w:val="ListeParagraf"/>
        <w:numPr>
          <w:ilvl w:val="0"/>
          <w:numId w:val="5"/>
        </w:numPr>
        <w:jc w:val="both"/>
        <w:rPr>
          <w:rFonts w:asciiTheme="majorBidi" w:hAnsiTheme="majorBidi" w:cstheme="majorBidi"/>
          <w:u w:val="single"/>
        </w:rPr>
      </w:pPr>
      <w:r w:rsidRPr="007B16A4">
        <w:rPr>
          <w:rFonts w:asciiTheme="majorBidi" w:hAnsiTheme="majorBidi" w:cstheme="majorBidi"/>
          <w:u w:val="single"/>
        </w:rPr>
        <w:t>Karayolu taşımacılığının payı azaltılarak, denizyolu ve demiryolu taşımacılığının payı artırılarak, yük ve yolcu taşımacılığında taşımacılık biçimlerinin dengeli biçimde kullanılmasını sağlamak,</w:t>
      </w:r>
    </w:p>
    <w:p w14:paraId="0885A39B" w14:textId="2B9C66B0" w:rsidR="00046980" w:rsidRPr="007B16A4" w:rsidRDefault="00046980" w:rsidP="002907AA">
      <w:pPr>
        <w:pStyle w:val="ListeParagraf"/>
        <w:numPr>
          <w:ilvl w:val="0"/>
          <w:numId w:val="5"/>
        </w:numPr>
        <w:jc w:val="both"/>
        <w:rPr>
          <w:rFonts w:asciiTheme="majorBidi" w:hAnsiTheme="majorBidi" w:cstheme="majorBidi"/>
        </w:rPr>
      </w:pPr>
      <w:r w:rsidRPr="007B16A4">
        <w:rPr>
          <w:rFonts w:asciiTheme="majorBidi" w:hAnsiTheme="majorBidi" w:cstheme="majorBidi"/>
        </w:rPr>
        <w:t>Düşük veya sıfır emisyonlu, enerji verimli, alternatif temiz yakıtlı taşımacılık seçeneklerini geliştirmek ve şehir içi yolcu ve yük taşımacılığını uluslararası ve şehirlerarası trenlerle yaygınlaştırmak,</w:t>
      </w:r>
    </w:p>
    <w:p w14:paraId="180C0536" w14:textId="145A3A0A" w:rsidR="00046980" w:rsidRPr="007B16A4" w:rsidRDefault="00150169" w:rsidP="002907AA">
      <w:pPr>
        <w:pStyle w:val="ListeParagraf"/>
        <w:numPr>
          <w:ilvl w:val="0"/>
          <w:numId w:val="5"/>
        </w:numPr>
        <w:jc w:val="both"/>
        <w:rPr>
          <w:rFonts w:asciiTheme="majorBidi" w:hAnsiTheme="majorBidi" w:cstheme="majorBidi"/>
        </w:rPr>
      </w:pPr>
      <w:r w:rsidRPr="007B16A4">
        <w:rPr>
          <w:rFonts w:asciiTheme="majorBidi" w:hAnsiTheme="majorBidi" w:cstheme="majorBidi"/>
        </w:rPr>
        <w:t>Karayollarında fosil yakıtlar yerine elektrik ve alternatif enerji kaynaklarının kullanımını artırmak,</w:t>
      </w:r>
    </w:p>
    <w:p w14:paraId="6C9F84DD" w14:textId="22C3F216" w:rsidR="00150169" w:rsidRPr="007B16A4" w:rsidRDefault="00E21045" w:rsidP="002907AA">
      <w:pPr>
        <w:pStyle w:val="ListeParagraf"/>
        <w:numPr>
          <w:ilvl w:val="0"/>
          <w:numId w:val="5"/>
        </w:numPr>
        <w:jc w:val="both"/>
        <w:rPr>
          <w:rFonts w:asciiTheme="majorBidi" w:hAnsiTheme="majorBidi" w:cstheme="majorBidi"/>
        </w:rPr>
      </w:pPr>
      <w:r w:rsidRPr="007B16A4">
        <w:rPr>
          <w:rFonts w:asciiTheme="majorBidi" w:hAnsiTheme="majorBidi" w:cstheme="majorBidi"/>
        </w:rPr>
        <w:t>Ülke genelinde hızlı şarj istasyon ağı oluşturarak elektrikli araçları teşvik etmek,</w:t>
      </w:r>
    </w:p>
    <w:p w14:paraId="54E95FA4" w14:textId="48095BC2" w:rsidR="00E21045" w:rsidRPr="007B16A4" w:rsidRDefault="00CD2D57" w:rsidP="002907AA">
      <w:pPr>
        <w:pStyle w:val="ListeParagraf"/>
        <w:numPr>
          <w:ilvl w:val="0"/>
          <w:numId w:val="5"/>
        </w:numPr>
        <w:jc w:val="both"/>
        <w:rPr>
          <w:rFonts w:asciiTheme="majorBidi" w:hAnsiTheme="majorBidi" w:cstheme="majorBidi"/>
          <w:u w:val="single"/>
        </w:rPr>
      </w:pPr>
      <w:r w:rsidRPr="007B16A4">
        <w:rPr>
          <w:rFonts w:asciiTheme="majorBidi" w:hAnsiTheme="majorBidi" w:cstheme="majorBidi"/>
          <w:u w:val="single"/>
        </w:rPr>
        <w:t>Yeşil liman uygulamalarını yaygınlaştırmak,</w:t>
      </w:r>
    </w:p>
    <w:p w14:paraId="106172E7" w14:textId="285AE79B" w:rsidR="00CD2D57" w:rsidRPr="007B16A4" w:rsidRDefault="005526F6" w:rsidP="002907AA">
      <w:pPr>
        <w:pStyle w:val="ListeParagraf"/>
        <w:numPr>
          <w:ilvl w:val="0"/>
          <w:numId w:val="5"/>
        </w:numPr>
        <w:jc w:val="both"/>
        <w:rPr>
          <w:rFonts w:asciiTheme="majorBidi" w:hAnsiTheme="majorBidi" w:cstheme="majorBidi"/>
          <w:u w:val="single"/>
        </w:rPr>
      </w:pPr>
      <w:r w:rsidRPr="007B16A4">
        <w:rPr>
          <w:rFonts w:asciiTheme="majorBidi" w:hAnsiTheme="majorBidi" w:cstheme="majorBidi"/>
          <w:u w:val="single"/>
        </w:rPr>
        <w:t>Gemi Hurdası Yönetmeliği’ni hayata geçirmek.</w:t>
      </w:r>
    </w:p>
    <w:p w14:paraId="0BCE1E17" w14:textId="4CF2C743" w:rsidR="00FA5B02" w:rsidRPr="007B16A4" w:rsidRDefault="00FA5B02" w:rsidP="002907AA">
      <w:pPr>
        <w:jc w:val="both"/>
        <w:rPr>
          <w:rFonts w:asciiTheme="majorBidi" w:hAnsiTheme="majorBidi" w:cstheme="majorBidi"/>
        </w:rPr>
      </w:pPr>
      <w:r w:rsidRPr="007B16A4">
        <w:rPr>
          <w:rFonts w:asciiTheme="majorBidi" w:hAnsiTheme="majorBidi" w:cstheme="majorBidi"/>
        </w:rPr>
        <w:t>Çevresel (Sürdürülebilir) senaryonun kabul edildiği 2023-2053 Ulusal Ulaştırma ve Lojistik Ana Planı’nda 2030 yılına kadar sektör için aşağıdaki önemli hedeflere yer verilmiştir:</w:t>
      </w:r>
    </w:p>
    <w:p w14:paraId="7AF3704A" w14:textId="6C7528C4" w:rsidR="00FA5B02" w:rsidRPr="00CD6718" w:rsidRDefault="00FA5B02" w:rsidP="002907AA">
      <w:pPr>
        <w:pStyle w:val="ListeParagraf"/>
        <w:numPr>
          <w:ilvl w:val="0"/>
          <w:numId w:val="6"/>
        </w:numPr>
        <w:jc w:val="both"/>
        <w:rPr>
          <w:rFonts w:asciiTheme="majorBidi" w:hAnsiTheme="majorBidi" w:cstheme="majorBidi"/>
        </w:rPr>
      </w:pPr>
      <w:r w:rsidRPr="00CD6718">
        <w:rPr>
          <w:rFonts w:asciiTheme="majorBidi" w:hAnsiTheme="majorBidi" w:cstheme="majorBidi"/>
        </w:rPr>
        <w:t>Yıllık yük taşımacılığında karayollarının %71’lik payı %67’ye düşürülecektir.</w:t>
      </w:r>
    </w:p>
    <w:p w14:paraId="72801A76" w14:textId="2862A0F1" w:rsidR="00230D73" w:rsidRPr="00CD6718" w:rsidRDefault="00230D73" w:rsidP="002907AA">
      <w:pPr>
        <w:pStyle w:val="ListeParagraf"/>
        <w:numPr>
          <w:ilvl w:val="0"/>
          <w:numId w:val="6"/>
        </w:numPr>
        <w:jc w:val="both"/>
        <w:rPr>
          <w:rFonts w:asciiTheme="majorBidi" w:hAnsiTheme="majorBidi" w:cstheme="majorBidi"/>
        </w:rPr>
      </w:pPr>
      <w:r w:rsidRPr="00CD6718">
        <w:rPr>
          <w:rFonts w:asciiTheme="majorBidi" w:hAnsiTheme="majorBidi" w:cstheme="majorBidi"/>
        </w:rPr>
        <w:t>Limanlarda yüksek düzeyde yenilenebilir enerji kaynakları kullanılacaktır.</w:t>
      </w:r>
    </w:p>
    <w:p w14:paraId="25645168" w14:textId="7F52D5F2" w:rsidR="00230D73" w:rsidRPr="007B16A4" w:rsidRDefault="00A15F65" w:rsidP="002907AA">
      <w:pPr>
        <w:ind w:firstLine="360"/>
        <w:jc w:val="both"/>
        <w:rPr>
          <w:rFonts w:asciiTheme="majorBidi" w:hAnsiTheme="majorBidi" w:cstheme="majorBidi"/>
          <w:b/>
          <w:bCs/>
          <w:u w:val="single"/>
        </w:rPr>
      </w:pPr>
      <w:r w:rsidRPr="007B16A4">
        <w:rPr>
          <w:rFonts w:asciiTheme="majorBidi" w:hAnsiTheme="majorBidi" w:cstheme="majorBidi"/>
          <w:b/>
          <w:bCs/>
          <w:u w:val="single"/>
        </w:rPr>
        <w:t>Tarım Sektörü</w:t>
      </w:r>
    </w:p>
    <w:p w14:paraId="044AF0B7" w14:textId="1E34E88A" w:rsidR="00A15F65" w:rsidRPr="007B16A4" w:rsidRDefault="00A15F65" w:rsidP="002907AA">
      <w:pPr>
        <w:ind w:firstLine="360"/>
        <w:jc w:val="both"/>
        <w:rPr>
          <w:rFonts w:asciiTheme="majorBidi" w:hAnsiTheme="majorBidi" w:cstheme="majorBidi"/>
          <w:b/>
          <w:bCs/>
          <w:u w:val="single"/>
        </w:rPr>
      </w:pPr>
      <w:r w:rsidRPr="007B16A4">
        <w:rPr>
          <w:rFonts w:asciiTheme="majorBidi" w:hAnsiTheme="majorBidi" w:cstheme="majorBidi"/>
          <w:b/>
          <w:bCs/>
          <w:u w:val="single"/>
        </w:rPr>
        <w:t>Bina Sektörü</w:t>
      </w:r>
    </w:p>
    <w:p w14:paraId="2DAA85D9" w14:textId="35F5D713" w:rsidR="00133C0E" w:rsidRPr="007B16A4" w:rsidRDefault="00133C0E" w:rsidP="002907AA">
      <w:pPr>
        <w:ind w:firstLine="360"/>
        <w:jc w:val="both"/>
        <w:rPr>
          <w:rFonts w:asciiTheme="majorBidi" w:hAnsiTheme="majorBidi" w:cstheme="majorBidi"/>
          <w:b/>
          <w:bCs/>
          <w:u w:val="single"/>
        </w:rPr>
      </w:pPr>
      <w:r w:rsidRPr="007B16A4">
        <w:rPr>
          <w:rFonts w:asciiTheme="majorBidi" w:hAnsiTheme="majorBidi" w:cstheme="majorBidi"/>
          <w:b/>
          <w:bCs/>
          <w:u w:val="single"/>
        </w:rPr>
        <w:t>Atık Sektörü</w:t>
      </w:r>
    </w:p>
    <w:p w14:paraId="088020ED" w14:textId="7E82B7B8" w:rsidR="00133C0E" w:rsidRPr="007B16A4" w:rsidRDefault="00D13A14" w:rsidP="002907AA">
      <w:pPr>
        <w:ind w:firstLine="360"/>
        <w:jc w:val="both"/>
        <w:rPr>
          <w:rFonts w:asciiTheme="majorBidi" w:hAnsiTheme="majorBidi" w:cstheme="majorBidi"/>
        </w:rPr>
      </w:pPr>
      <w:r w:rsidRPr="007B16A4">
        <w:rPr>
          <w:rFonts w:asciiTheme="majorBidi" w:hAnsiTheme="majorBidi" w:cstheme="majorBidi"/>
        </w:rPr>
        <w:t xml:space="preserve">2020 yılında Türkiye’de oluşan kentsel atık miktarı 32,3 milyon tona ulaşmıştır. </w:t>
      </w:r>
      <w:r w:rsidR="00924CE8" w:rsidRPr="007B16A4">
        <w:rPr>
          <w:rFonts w:asciiTheme="majorBidi" w:hAnsiTheme="majorBidi" w:cstheme="majorBidi"/>
        </w:rPr>
        <w:t xml:space="preserve">Biyogaz ve çöp gazından enerji üretimine yönelik teşvik mekanizmaları ve yatırımlar sonucunda atıktan yenilenebilir enerji üretimi artmıştır. </w:t>
      </w:r>
      <w:r w:rsidR="007C327B" w:rsidRPr="007B16A4">
        <w:rPr>
          <w:rFonts w:asciiTheme="majorBidi" w:hAnsiTheme="majorBidi" w:cstheme="majorBidi"/>
        </w:rPr>
        <w:t xml:space="preserve">Türkiye’de 55 ildeki 84 enerji üretim tesisinde biyogaz ve çöp gazından yıllık 4.096.452 MWh elektrik üretilmektedir. </w:t>
      </w:r>
    </w:p>
    <w:p w14:paraId="34C00788" w14:textId="5C73BAF5" w:rsidR="0045496E" w:rsidRPr="007B16A4" w:rsidRDefault="0045496E" w:rsidP="002907AA">
      <w:pPr>
        <w:ind w:firstLine="360"/>
        <w:jc w:val="both"/>
        <w:rPr>
          <w:rFonts w:asciiTheme="majorBidi" w:hAnsiTheme="majorBidi" w:cstheme="majorBidi"/>
        </w:rPr>
      </w:pPr>
      <w:r w:rsidRPr="007B16A4">
        <w:rPr>
          <w:rFonts w:asciiTheme="majorBidi" w:hAnsiTheme="majorBidi" w:cstheme="majorBidi"/>
        </w:rPr>
        <w:t>2017’de başlatılan “Sıfır Atık” Hareketi, “Sürdürülebilir Kalkınma için 2030 Gündemi’ni İlerletmek Üzere Sıfır Atık Yaklaşımlarının Teşvik Edilmesi” başlıklı Birleşmiş Milletler Genel Kurul Kararı ile küresel ölçeğe taşınmıştır. Türkiye tarafından sunulan ve 105 eş sunucu ülkenin kıymetli katkıları ile BM’nin 77inci Genel Kurulu oturumunda kabul edilen bu karar neticesinde, Türkiye, iklim değişikliği ile mücadeledeki küresel çabalara, döngüselliği teşvik eden Sürdürülebilir Kalkınma Amaçları’na ulaşılmasına ve Paris Anlaşması’nın uygulanmasına katkıda bulunacaktır.</w:t>
      </w:r>
    </w:p>
    <w:p w14:paraId="0FCE8672" w14:textId="77777777" w:rsidR="007E3B29" w:rsidRPr="007B16A4" w:rsidRDefault="007E3B29" w:rsidP="002907AA">
      <w:pPr>
        <w:ind w:firstLine="360"/>
        <w:jc w:val="both"/>
        <w:rPr>
          <w:rFonts w:asciiTheme="majorBidi" w:hAnsiTheme="majorBidi" w:cstheme="majorBidi"/>
        </w:rPr>
      </w:pPr>
    </w:p>
    <w:p w14:paraId="15AB043E" w14:textId="77777777" w:rsidR="0031591E" w:rsidRPr="007B16A4" w:rsidRDefault="0031591E" w:rsidP="002907AA">
      <w:pPr>
        <w:ind w:firstLine="360"/>
        <w:jc w:val="both"/>
        <w:rPr>
          <w:rFonts w:asciiTheme="majorBidi" w:hAnsiTheme="majorBidi" w:cstheme="majorBidi"/>
        </w:rPr>
      </w:pPr>
      <w:r w:rsidRPr="007B16A4">
        <w:rPr>
          <w:rFonts w:asciiTheme="majorBidi" w:hAnsiTheme="majorBidi" w:cstheme="majorBidi"/>
        </w:rPr>
        <w:t xml:space="preserve">Türkiye’nin 2030 yılına kadar atık sektörüne yönelik ana azaltım politikaları aşağıdaki gibidir: </w:t>
      </w:r>
    </w:p>
    <w:p w14:paraId="4168CD6D" w14:textId="22BF0838" w:rsidR="0031591E" w:rsidRPr="007B16A4" w:rsidRDefault="0031591E" w:rsidP="004C6B34">
      <w:pPr>
        <w:pStyle w:val="ListeParagraf"/>
        <w:numPr>
          <w:ilvl w:val="0"/>
          <w:numId w:val="7"/>
        </w:numPr>
        <w:ind w:left="426" w:hanging="219"/>
        <w:jc w:val="both"/>
        <w:rPr>
          <w:rFonts w:asciiTheme="majorBidi" w:hAnsiTheme="majorBidi" w:cstheme="majorBidi"/>
        </w:rPr>
      </w:pPr>
      <w:r w:rsidRPr="007B16A4">
        <w:rPr>
          <w:rFonts w:asciiTheme="majorBidi" w:hAnsiTheme="majorBidi" w:cstheme="majorBidi"/>
        </w:rPr>
        <w:t>Atık oluşumunu önlemek ve oluşan atıkların miktarını döngüsel ekonomi ilkeleri çerçevesinde azaltmak,</w:t>
      </w:r>
    </w:p>
    <w:p w14:paraId="6C9D9A59" w14:textId="77777777" w:rsidR="0031591E" w:rsidRPr="007B16A4" w:rsidRDefault="0031591E" w:rsidP="004C6B34">
      <w:pPr>
        <w:pStyle w:val="ListeParagraf"/>
        <w:numPr>
          <w:ilvl w:val="0"/>
          <w:numId w:val="7"/>
        </w:numPr>
        <w:ind w:left="426" w:hanging="219"/>
        <w:jc w:val="both"/>
        <w:rPr>
          <w:rFonts w:asciiTheme="majorBidi" w:hAnsiTheme="majorBidi" w:cstheme="majorBidi"/>
          <w:u w:val="single"/>
        </w:rPr>
      </w:pPr>
      <w:r w:rsidRPr="007B16A4">
        <w:rPr>
          <w:rFonts w:asciiTheme="majorBidi" w:hAnsiTheme="majorBidi" w:cstheme="majorBidi"/>
          <w:u w:val="single"/>
        </w:rPr>
        <w:t>2035’e kadar kentsel atıkların geri kazanım oranını %60’a yükseltmek,</w:t>
      </w:r>
    </w:p>
    <w:p w14:paraId="75373AAB" w14:textId="77777777" w:rsidR="0031591E" w:rsidRPr="007B16A4" w:rsidRDefault="0031591E" w:rsidP="004C6B34">
      <w:pPr>
        <w:pStyle w:val="ListeParagraf"/>
        <w:numPr>
          <w:ilvl w:val="0"/>
          <w:numId w:val="7"/>
        </w:numPr>
        <w:ind w:left="426" w:hanging="219"/>
        <w:jc w:val="both"/>
        <w:rPr>
          <w:rFonts w:asciiTheme="majorBidi" w:hAnsiTheme="majorBidi" w:cstheme="majorBidi"/>
        </w:rPr>
      </w:pPr>
      <w:r w:rsidRPr="007B16A4">
        <w:rPr>
          <w:rFonts w:asciiTheme="majorBidi" w:hAnsiTheme="majorBidi" w:cstheme="majorBidi"/>
        </w:rPr>
        <w:lastRenderedPageBreak/>
        <w:t>Biyoçözünür atıklardan metan gazının geri kazanım oranını artırmak,</w:t>
      </w:r>
    </w:p>
    <w:p w14:paraId="4923DF7C" w14:textId="6578AA41" w:rsidR="0031591E" w:rsidRPr="007B16A4" w:rsidRDefault="0031591E" w:rsidP="004C6B34">
      <w:pPr>
        <w:pStyle w:val="ListeParagraf"/>
        <w:numPr>
          <w:ilvl w:val="0"/>
          <w:numId w:val="7"/>
        </w:numPr>
        <w:ind w:left="426" w:hanging="219"/>
        <w:jc w:val="both"/>
        <w:rPr>
          <w:rFonts w:asciiTheme="majorBidi" w:hAnsiTheme="majorBidi" w:cstheme="majorBidi"/>
        </w:rPr>
      </w:pPr>
      <w:r w:rsidRPr="007B16A4">
        <w:rPr>
          <w:rFonts w:asciiTheme="majorBidi" w:hAnsiTheme="majorBidi" w:cstheme="majorBidi"/>
        </w:rPr>
        <w:t>Düzenli atık sahalarında depolanan atık yüzdesini, 2053’e kadar ön işlemsiz sıfır</w:t>
      </w:r>
      <w:r w:rsidR="00F56A01" w:rsidRPr="007B16A4">
        <w:rPr>
          <w:rFonts w:asciiTheme="majorBidi" w:hAnsiTheme="majorBidi" w:cstheme="majorBidi"/>
        </w:rPr>
        <w:t xml:space="preserve"> </w:t>
      </w:r>
      <w:r w:rsidRPr="007B16A4">
        <w:rPr>
          <w:rFonts w:asciiTheme="majorBidi" w:hAnsiTheme="majorBidi" w:cstheme="majorBidi"/>
        </w:rPr>
        <w:t>kentsel atık depolama hedefine ulaşılacak biçimde azaltmak,</w:t>
      </w:r>
    </w:p>
    <w:p w14:paraId="00416C6C" w14:textId="77777777" w:rsidR="0031591E" w:rsidRPr="007B16A4" w:rsidRDefault="0031591E" w:rsidP="004C6B34">
      <w:pPr>
        <w:pStyle w:val="ListeParagraf"/>
        <w:numPr>
          <w:ilvl w:val="0"/>
          <w:numId w:val="7"/>
        </w:numPr>
        <w:ind w:left="426" w:hanging="219"/>
        <w:jc w:val="both"/>
        <w:rPr>
          <w:rFonts w:asciiTheme="majorBidi" w:hAnsiTheme="majorBidi" w:cstheme="majorBidi"/>
        </w:rPr>
      </w:pPr>
      <w:r w:rsidRPr="007B16A4">
        <w:rPr>
          <w:rFonts w:asciiTheme="majorBidi" w:hAnsiTheme="majorBidi" w:cstheme="majorBidi"/>
        </w:rPr>
        <w:t>Kentsel atıktan RDF üretimini artırmak,</w:t>
      </w:r>
    </w:p>
    <w:p w14:paraId="7F3C785C" w14:textId="188079EA" w:rsidR="0031591E" w:rsidRPr="007B16A4" w:rsidRDefault="0031591E" w:rsidP="004C6B34">
      <w:pPr>
        <w:pStyle w:val="ListeParagraf"/>
        <w:numPr>
          <w:ilvl w:val="0"/>
          <w:numId w:val="7"/>
        </w:numPr>
        <w:ind w:left="426" w:hanging="219"/>
        <w:jc w:val="both"/>
        <w:rPr>
          <w:rFonts w:asciiTheme="majorBidi" w:hAnsiTheme="majorBidi" w:cstheme="majorBidi"/>
        </w:rPr>
      </w:pPr>
      <w:r w:rsidRPr="007B16A4">
        <w:rPr>
          <w:rFonts w:asciiTheme="majorBidi" w:hAnsiTheme="majorBidi" w:cstheme="majorBidi"/>
        </w:rPr>
        <w:t>Atıksu arıtma tesislerini biyorafineri tesislerine dönüştürmek, yeniden kullanım yüzdesini artırmak ve arıtılmış atıksuların kullanım alanlarını genişletmek.</w:t>
      </w:r>
    </w:p>
    <w:p w14:paraId="74974DE0" w14:textId="1A80BFEA" w:rsidR="002907AA" w:rsidRPr="007B16A4" w:rsidRDefault="002907AA" w:rsidP="002907AA">
      <w:pPr>
        <w:jc w:val="center"/>
        <w:rPr>
          <w:rFonts w:asciiTheme="majorBidi" w:hAnsiTheme="majorBidi" w:cstheme="majorBidi"/>
          <w:b/>
          <w:bCs/>
        </w:rPr>
      </w:pPr>
      <w:r w:rsidRPr="007B16A4">
        <w:rPr>
          <w:rFonts w:asciiTheme="majorBidi" w:hAnsiTheme="majorBidi" w:cstheme="majorBidi"/>
          <w:b/>
          <w:bCs/>
        </w:rPr>
        <w:t>TÜRKİYE’NİN UYUM POLİTİKALARI</w:t>
      </w:r>
    </w:p>
    <w:p w14:paraId="30230D27" w14:textId="1E6503B0" w:rsidR="002907AA" w:rsidRPr="007B16A4" w:rsidRDefault="001E410F" w:rsidP="00342BFF">
      <w:pPr>
        <w:jc w:val="both"/>
        <w:rPr>
          <w:rFonts w:asciiTheme="majorBidi" w:hAnsiTheme="majorBidi" w:cstheme="majorBidi"/>
          <w:b/>
          <w:bCs/>
        </w:rPr>
      </w:pPr>
      <w:r w:rsidRPr="007B16A4">
        <w:rPr>
          <w:rFonts w:asciiTheme="majorBidi" w:hAnsiTheme="majorBidi" w:cstheme="majorBidi"/>
        </w:rPr>
        <w:t>Intergovernmental Panel on Climate Change (</w:t>
      </w:r>
      <w:r w:rsidR="0079390C" w:rsidRPr="007B16A4">
        <w:rPr>
          <w:rFonts w:asciiTheme="majorBidi" w:hAnsiTheme="majorBidi" w:cstheme="majorBidi"/>
        </w:rPr>
        <w:t>IPCC</w:t>
      </w:r>
      <w:r w:rsidRPr="007B16A4">
        <w:rPr>
          <w:rFonts w:asciiTheme="majorBidi" w:hAnsiTheme="majorBidi" w:cstheme="majorBidi"/>
        </w:rPr>
        <w:t>)</w:t>
      </w:r>
      <w:r w:rsidR="0079390C" w:rsidRPr="007B16A4">
        <w:rPr>
          <w:rFonts w:asciiTheme="majorBidi" w:hAnsiTheme="majorBidi" w:cstheme="majorBidi"/>
        </w:rPr>
        <w:t xml:space="preserve">’nin İklim Değişikliği 2022: Etkiler, Uyum ve Kırılganlık başlıklı 6. Değerlendirme Raporu’nda da, önümüzdeki dönemde kıyı kentleri başta olmak üzere kentlerin iklim değişikliğinden daha fazla etkileneceği belirtilmiştir. </w:t>
      </w:r>
      <w:r w:rsidR="0079390C" w:rsidRPr="007B16A4">
        <w:rPr>
          <w:rFonts w:asciiTheme="majorBidi" w:hAnsiTheme="majorBidi" w:cstheme="majorBidi"/>
          <w:b/>
          <w:bCs/>
        </w:rPr>
        <w:t>Bu bağlamda, 2050 yılına kadar dünya nüfusunun %70’inin yaşayacağı kentsel alanları ciddiyetle ele alma ihtiyacı göz ardı edilemez. Yeterli önlemler bugünden alınmadıkça, kentlerimiz muhtemelen en az bir doğal afete maruz kalacaktır.</w:t>
      </w:r>
      <w:r w:rsidR="00342BFF" w:rsidRPr="007B16A4">
        <w:rPr>
          <w:rFonts w:asciiTheme="majorBidi" w:hAnsiTheme="majorBidi" w:cstheme="majorBidi"/>
          <w:b/>
          <w:bCs/>
        </w:rPr>
        <w:t xml:space="preserve"> Su girdilerinin 2100’e kadar %45 azalması nedeniyle yeraltı suyu zenginleşmesinde de azalma öngörülmektedir. 2070 yılından sonra, Akdeniz havzasında yer alan en büyük tatlı su gölü olan Beyşehir Gölü’nün kuruması söz konusu olabilir.</w:t>
      </w:r>
    </w:p>
    <w:p w14:paraId="4736E016" w14:textId="042847B4" w:rsidR="00FA2CD4" w:rsidRPr="007B16A4" w:rsidRDefault="00FA2CD4" w:rsidP="00934B0B">
      <w:pPr>
        <w:ind w:firstLine="708"/>
        <w:jc w:val="both"/>
        <w:rPr>
          <w:rFonts w:asciiTheme="majorBidi" w:hAnsiTheme="majorBidi" w:cstheme="majorBidi"/>
          <w:b/>
          <w:bCs/>
          <w:u w:val="single"/>
        </w:rPr>
      </w:pPr>
      <w:r w:rsidRPr="007B16A4">
        <w:rPr>
          <w:rFonts w:asciiTheme="majorBidi" w:hAnsiTheme="majorBidi" w:cstheme="majorBidi"/>
          <w:b/>
          <w:bCs/>
          <w:u w:val="single"/>
        </w:rPr>
        <w:t>Su Sektörü</w:t>
      </w:r>
    </w:p>
    <w:p w14:paraId="74A5E019" w14:textId="1450C263" w:rsidR="00934B0B" w:rsidRPr="007B16A4" w:rsidRDefault="00934B0B" w:rsidP="00934B0B">
      <w:pPr>
        <w:ind w:firstLine="708"/>
        <w:rPr>
          <w:rFonts w:asciiTheme="majorBidi" w:hAnsiTheme="majorBidi" w:cstheme="majorBidi"/>
        </w:rPr>
      </w:pPr>
      <w:r w:rsidRPr="007B16A4">
        <w:rPr>
          <w:rFonts w:asciiTheme="majorBidi" w:hAnsiTheme="majorBidi" w:cstheme="majorBidi"/>
        </w:rPr>
        <w:t>Türkiye’de yapılan iklim değişikliği çalışmalarına göre, 2071-2100 döneminde ülke genelinde yıllık ortalama yağışın yaklaşık %10 azalması beklenmektedir.</w:t>
      </w:r>
    </w:p>
    <w:p w14:paraId="19C2712D" w14:textId="799818DB" w:rsidR="00BE65C8" w:rsidRPr="007B16A4" w:rsidRDefault="00BE65C8" w:rsidP="00BE65C8">
      <w:pPr>
        <w:bidi/>
        <w:ind w:right="709"/>
        <w:jc w:val="right"/>
        <w:rPr>
          <w:rFonts w:asciiTheme="majorBidi" w:hAnsiTheme="majorBidi" w:cstheme="majorBidi"/>
          <w:b/>
          <w:bCs/>
          <w:u w:val="single"/>
        </w:rPr>
      </w:pPr>
      <w:r w:rsidRPr="007B16A4">
        <w:rPr>
          <w:rFonts w:asciiTheme="majorBidi" w:hAnsiTheme="majorBidi" w:cstheme="majorBidi"/>
          <w:b/>
          <w:bCs/>
          <w:u w:val="single"/>
        </w:rPr>
        <w:t>Şehircilik Sektörü</w:t>
      </w:r>
    </w:p>
    <w:p w14:paraId="00DE5C14" w14:textId="33008602" w:rsidR="00890C70" w:rsidRPr="007B16A4" w:rsidRDefault="00890C70" w:rsidP="00890C70">
      <w:pPr>
        <w:bidi/>
        <w:ind w:right="709"/>
        <w:jc w:val="right"/>
        <w:rPr>
          <w:rFonts w:asciiTheme="majorBidi" w:hAnsiTheme="majorBidi" w:cstheme="majorBidi"/>
          <w:b/>
          <w:bCs/>
          <w:u w:val="single"/>
        </w:rPr>
      </w:pPr>
      <w:r w:rsidRPr="007B16A4">
        <w:rPr>
          <w:rFonts w:asciiTheme="majorBidi" w:hAnsiTheme="majorBidi" w:cstheme="majorBidi"/>
          <w:b/>
          <w:bCs/>
          <w:u w:val="single"/>
        </w:rPr>
        <w:t>Kırsal Kalkınma Sektörü</w:t>
      </w:r>
    </w:p>
    <w:p w14:paraId="479A563D" w14:textId="1BAFEBE3" w:rsidR="00890C70" w:rsidRPr="007B16A4" w:rsidRDefault="00890C70" w:rsidP="00890C70">
      <w:pPr>
        <w:bidi/>
        <w:ind w:right="709"/>
        <w:jc w:val="right"/>
        <w:rPr>
          <w:rFonts w:asciiTheme="majorBidi" w:hAnsiTheme="majorBidi" w:cstheme="majorBidi"/>
          <w:b/>
          <w:bCs/>
          <w:u w:val="single"/>
        </w:rPr>
      </w:pPr>
      <w:r w:rsidRPr="007B16A4">
        <w:rPr>
          <w:rFonts w:asciiTheme="majorBidi" w:hAnsiTheme="majorBidi" w:cstheme="majorBidi"/>
          <w:b/>
          <w:bCs/>
          <w:u w:val="single"/>
        </w:rPr>
        <w:t>Halk Sağlığı Sektörü</w:t>
      </w:r>
    </w:p>
    <w:p w14:paraId="5981483C" w14:textId="77777777" w:rsidR="00A1745E" w:rsidRPr="007B16A4" w:rsidRDefault="00A1745E" w:rsidP="00B15A18">
      <w:pPr>
        <w:ind w:right="709"/>
        <w:jc w:val="center"/>
        <w:rPr>
          <w:rFonts w:asciiTheme="majorBidi" w:hAnsiTheme="majorBidi" w:cstheme="majorBidi"/>
          <w:b/>
          <w:bCs/>
        </w:rPr>
      </w:pPr>
    </w:p>
    <w:p w14:paraId="6086E3F7" w14:textId="0744125E" w:rsidR="00890C70" w:rsidRPr="007B16A4" w:rsidRDefault="00890C70" w:rsidP="00B15A18">
      <w:pPr>
        <w:ind w:right="709"/>
        <w:jc w:val="center"/>
        <w:rPr>
          <w:rFonts w:asciiTheme="majorBidi" w:hAnsiTheme="majorBidi" w:cstheme="majorBidi"/>
          <w:b/>
          <w:bCs/>
        </w:rPr>
      </w:pPr>
      <w:r w:rsidRPr="007B16A4">
        <w:rPr>
          <w:rFonts w:asciiTheme="majorBidi" w:hAnsiTheme="majorBidi" w:cstheme="majorBidi"/>
          <w:b/>
          <w:bCs/>
        </w:rPr>
        <w:t>TÜRKİYE’NİN UYUM HEDEFLERİ</w:t>
      </w:r>
    </w:p>
    <w:p w14:paraId="1A49EED0" w14:textId="35A532C2" w:rsidR="00B15A18" w:rsidRPr="007B16A4" w:rsidRDefault="00B15A18" w:rsidP="00771382">
      <w:pPr>
        <w:ind w:right="709" w:firstLine="360"/>
        <w:jc w:val="both"/>
        <w:rPr>
          <w:rFonts w:asciiTheme="majorBidi" w:hAnsiTheme="majorBidi" w:cstheme="majorBidi"/>
        </w:rPr>
      </w:pPr>
      <w:r w:rsidRPr="007B16A4">
        <w:rPr>
          <w:rFonts w:asciiTheme="majorBidi" w:hAnsiTheme="majorBidi" w:cstheme="majorBidi"/>
        </w:rPr>
        <w:t>Türkiye’nin 2030 yılına kadar uyum eylemlerini destekleyen ana politika hazırlık eylemleri aşağıda verilmiştir:</w:t>
      </w:r>
    </w:p>
    <w:p w14:paraId="50D99120" w14:textId="007EC402" w:rsidR="00B15A18" w:rsidRPr="007B16A4" w:rsidRDefault="00B15A18" w:rsidP="00B15A18">
      <w:pPr>
        <w:pStyle w:val="ListeParagraf"/>
        <w:numPr>
          <w:ilvl w:val="0"/>
          <w:numId w:val="8"/>
        </w:numPr>
        <w:ind w:right="709"/>
        <w:jc w:val="both"/>
        <w:rPr>
          <w:rFonts w:asciiTheme="majorBidi" w:hAnsiTheme="majorBidi" w:cstheme="majorBidi"/>
        </w:rPr>
      </w:pPr>
      <w:r w:rsidRPr="007B16A4">
        <w:rPr>
          <w:rFonts w:asciiTheme="majorBidi" w:hAnsiTheme="majorBidi" w:cstheme="majorBidi"/>
        </w:rPr>
        <w:t>Arıtılmış atıksuların peyzaj ve tarımsal sulama, endüstriyel kullanım, yeraltı suyu zenginleşmesi, eğlence amaçlı kullanım, evsel ve endüstriyel uygulamalarda yeniden kullanımı artırılacaktır.</w:t>
      </w:r>
    </w:p>
    <w:p w14:paraId="45A16B7D" w14:textId="77777777" w:rsidR="00B15A18" w:rsidRPr="00CD6718" w:rsidRDefault="00B15A18" w:rsidP="00B15A18">
      <w:pPr>
        <w:pStyle w:val="ListeParagraf"/>
        <w:numPr>
          <w:ilvl w:val="0"/>
          <w:numId w:val="8"/>
        </w:numPr>
        <w:ind w:right="709"/>
        <w:jc w:val="both"/>
        <w:rPr>
          <w:rFonts w:asciiTheme="majorBidi" w:hAnsiTheme="majorBidi" w:cstheme="majorBidi"/>
        </w:rPr>
      </w:pPr>
      <w:r w:rsidRPr="00CD6718">
        <w:rPr>
          <w:rFonts w:asciiTheme="majorBidi" w:hAnsiTheme="majorBidi" w:cstheme="majorBidi"/>
        </w:rPr>
        <w:t>Arıtılmış atıksularda yeniden kullanım oranı 2030’a kadar %15’e yükseltilecektir.</w:t>
      </w:r>
    </w:p>
    <w:p w14:paraId="55074ECA" w14:textId="45AE869C" w:rsidR="00B15A18" w:rsidRPr="00CD6718" w:rsidRDefault="00B15A18" w:rsidP="00B15A18">
      <w:pPr>
        <w:pStyle w:val="ListeParagraf"/>
        <w:numPr>
          <w:ilvl w:val="0"/>
          <w:numId w:val="8"/>
        </w:numPr>
        <w:ind w:right="709"/>
        <w:jc w:val="both"/>
        <w:rPr>
          <w:rFonts w:asciiTheme="majorBidi" w:hAnsiTheme="majorBidi" w:cstheme="majorBidi"/>
        </w:rPr>
      </w:pPr>
      <w:r w:rsidRPr="00CD6718">
        <w:rPr>
          <w:rFonts w:asciiTheme="majorBidi" w:hAnsiTheme="majorBidi" w:cstheme="majorBidi"/>
        </w:rPr>
        <w:t>Arıtılmış atıksuların, kurumuş veya gelecekte kuruyacak 35 sulak alana verilerek yeniden kullanımının artırılması hedeflenmektedir.</w:t>
      </w:r>
    </w:p>
    <w:p w14:paraId="11E65689" w14:textId="013682C4" w:rsidR="00B15A18" w:rsidRPr="00CD6718" w:rsidRDefault="00B15A18" w:rsidP="00B15A18">
      <w:pPr>
        <w:pStyle w:val="ListeParagraf"/>
        <w:numPr>
          <w:ilvl w:val="0"/>
          <w:numId w:val="8"/>
        </w:numPr>
        <w:ind w:right="709"/>
        <w:jc w:val="both"/>
        <w:rPr>
          <w:rFonts w:asciiTheme="majorBidi" w:hAnsiTheme="majorBidi" w:cstheme="majorBidi"/>
        </w:rPr>
      </w:pPr>
      <w:r w:rsidRPr="00CD6718">
        <w:rPr>
          <w:rFonts w:asciiTheme="majorBidi" w:hAnsiTheme="majorBidi" w:cstheme="majorBidi"/>
        </w:rPr>
        <w:t>Büyükşehir ve il belediyelerinin içme suyu temin ve dağıtım şebekelerinde kayıp %25’e düşürülecektir. Kaynaktan musluğa İçme Suyu Temini Yönetimi, içme suyu güvenliği planlarının hazırlığı kapsamında seçilmiş pilot ilde değerlendirilmiştir. Planlama çalışmaları ülke genelinde yaygınlaştırılacaktır. Yağmur suyu hasadı ve gri suyun yeniden kullanımı ise 10 yıl içinde Türkiye geneline yaygınlaştırılacaktır.</w:t>
      </w:r>
    </w:p>
    <w:p w14:paraId="360ECADC" w14:textId="05B5E8EB" w:rsidR="00BB06D1" w:rsidRPr="00CD6718" w:rsidRDefault="00BB06D1" w:rsidP="00B15A18">
      <w:pPr>
        <w:pStyle w:val="ListeParagraf"/>
        <w:numPr>
          <w:ilvl w:val="0"/>
          <w:numId w:val="8"/>
        </w:numPr>
        <w:ind w:right="709"/>
        <w:jc w:val="both"/>
        <w:rPr>
          <w:rFonts w:asciiTheme="majorBidi" w:hAnsiTheme="majorBidi" w:cstheme="majorBidi"/>
        </w:rPr>
      </w:pPr>
      <w:r w:rsidRPr="00CD6718">
        <w:rPr>
          <w:rFonts w:asciiTheme="majorBidi" w:hAnsiTheme="majorBidi" w:cstheme="majorBidi"/>
        </w:rPr>
        <w:t>Koruma altındaki alanların sayısı artırılacaktır.</w:t>
      </w:r>
    </w:p>
    <w:p w14:paraId="173DF8A3" w14:textId="77777777" w:rsidR="00E107EB" w:rsidRPr="007B16A4" w:rsidRDefault="00E107EB" w:rsidP="00E107EB">
      <w:pPr>
        <w:ind w:right="709"/>
        <w:jc w:val="both"/>
        <w:rPr>
          <w:rFonts w:asciiTheme="majorBidi" w:hAnsiTheme="majorBidi" w:cstheme="majorBidi"/>
        </w:rPr>
      </w:pPr>
    </w:p>
    <w:p w14:paraId="52A18B8B" w14:textId="67095B58" w:rsidR="00E107EB" w:rsidRPr="007B16A4" w:rsidRDefault="00E107EB" w:rsidP="00832185">
      <w:pPr>
        <w:ind w:right="709" w:firstLine="708"/>
        <w:jc w:val="both"/>
        <w:rPr>
          <w:rFonts w:asciiTheme="majorBidi" w:hAnsiTheme="majorBidi" w:cstheme="majorBidi"/>
          <w:b/>
          <w:bCs/>
        </w:rPr>
      </w:pPr>
      <w:r w:rsidRPr="007B16A4">
        <w:rPr>
          <w:rFonts w:asciiTheme="majorBidi" w:hAnsiTheme="majorBidi" w:cstheme="majorBidi"/>
          <w:b/>
          <w:bCs/>
        </w:rPr>
        <w:t>KURUMSAL GELİŞİM VE PAYDAŞLARIN KATILIMI</w:t>
      </w:r>
    </w:p>
    <w:p w14:paraId="0DB304A4" w14:textId="4E9949A3" w:rsidR="00F45EB4" w:rsidRPr="0087009E" w:rsidRDefault="004158ED" w:rsidP="0087009E">
      <w:pPr>
        <w:ind w:right="709" w:firstLine="708"/>
        <w:jc w:val="both"/>
        <w:rPr>
          <w:rFonts w:asciiTheme="majorBidi" w:hAnsiTheme="majorBidi" w:cstheme="majorBidi"/>
        </w:rPr>
      </w:pPr>
      <w:r w:rsidRPr="007B16A4">
        <w:rPr>
          <w:rFonts w:asciiTheme="majorBidi" w:hAnsiTheme="majorBidi" w:cstheme="majorBidi"/>
        </w:rPr>
        <w:t xml:space="preserve">İklim Değişikliği Kanunu taslağına ilişkin çok paydaşlı istişareler gerçekleştirilmiştir. Bu istişarelerin sonucunda oluşturulan taslak yasama sürecinde milletvekilleri tarafından müzakere edilmek ve nihai hali verilmek üzere Türkiye Büyük Millet Meclisi’ne sunulmuştur. </w:t>
      </w:r>
      <w:r w:rsidRPr="007B16A4">
        <w:rPr>
          <w:rFonts w:asciiTheme="majorBidi" w:hAnsiTheme="majorBidi" w:cstheme="majorBidi"/>
        </w:rPr>
        <w:lastRenderedPageBreak/>
        <w:t>Taslak metinde, azaltım ve uyum hedeflerinin hukuki dayanağını oluşturmak, iklim değişikliğiyle mücadele kapsamında yeşil büyüme ve 2053 net sıfır hedefiyle uyumlu olarak ulusal emisyon ticaret sistemi, planlama ve uygulama araçlarını kurmak, ve Türkiye’de etkili iklim eylemlerine yönelik hukuki dayanağı iyileştirmek amaçlanmıştır.</w:t>
      </w:r>
    </w:p>
    <w:p w14:paraId="6224C75B" w14:textId="2423D51A" w:rsidR="00D50998" w:rsidRPr="007B16A4" w:rsidRDefault="00D50998" w:rsidP="00832185">
      <w:pPr>
        <w:ind w:right="709" w:firstLine="708"/>
        <w:jc w:val="both"/>
        <w:rPr>
          <w:rFonts w:asciiTheme="majorBidi" w:hAnsiTheme="majorBidi" w:cstheme="majorBidi"/>
          <w:b/>
          <w:bCs/>
          <w:u w:val="single"/>
        </w:rPr>
      </w:pPr>
      <w:r w:rsidRPr="00CD6718">
        <w:rPr>
          <w:rFonts w:asciiTheme="majorBidi" w:hAnsiTheme="majorBidi" w:cstheme="majorBidi"/>
          <w:b/>
          <w:bCs/>
          <w:u w:val="single"/>
        </w:rPr>
        <w:t>Finansman</w:t>
      </w:r>
    </w:p>
    <w:p w14:paraId="48DB821A" w14:textId="2A8A3558" w:rsidR="00DC2D91" w:rsidRPr="007B16A4" w:rsidRDefault="00DC2D91" w:rsidP="00DC2D91">
      <w:pPr>
        <w:ind w:right="709" w:firstLine="708"/>
        <w:jc w:val="both"/>
        <w:rPr>
          <w:rFonts w:asciiTheme="majorBidi" w:hAnsiTheme="majorBidi" w:cstheme="majorBidi"/>
          <w:u w:val="single"/>
        </w:rPr>
      </w:pPr>
      <w:r w:rsidRPr="007B16A4">
        <w:rPr>
          <w:rFonts w:asciiTheme="majorBidi" w:hAnsiTheme="majorBidi" w:cstheme="majorBidi"/>
          <w:u w:val="single"/>
        </w:rPr>
        <w:t>Birleşmiş Milletler Ticaret ve Kalkınma Konferansı’nın 2023 Dünya Ekonomik Durumu ve Beklentiler Raporu’nda gelişmekte olan ülke olarak anılmaktadır.</w:t>
      </w:r>
      <w:r w:rsidRPr="007B16A4">
        <w:rPr>
          <w:rFonts w:asciiTheme="majorBidi" w:hAnsiTheme="majorBidi" w:cstheme="majorBidi"/>
        </w:rPr>
        <w:t xml:space="preserve"> </w:t>
      </w:r>
      <w:r w:rsidRPr="007B16A4">
        <w:rPr>
          <w:rFonts w:asciiTheme="majorBidi" w:hAnsiTheme="majorBidi" w:cstheme="majorBidi"/>
          <w:u w:val="single"/>
        </w:rPr>
        <w:t>Türkiye, iklim değişikliğiyle mücadeleye yönelik büyük ölçekli yatırımları ulusal bütçesinden karşılamaktadır. Türkiye’de özel sektör, sera gazı emisyonlarını azaltmaya yönelik somut önlemler almaktadır.</w:t>
      </w:r>
      <w:r w:rsidRPr="007B16A4">
        <w:rPr>
          <w:rFonts w:asciiTheme="majorBidi" w:hAnsiTheme="majorBidi" w:cstheme="majorBidi"/>
        </w:rPr>
        <w:t xml:space="preserve"> </w:t>
      </w:r>
      <w:r w:rsidRPr="007B16A4">
        <w:rPr>
          <w:rFonts w:asciiTheme="majorBidi" w:hAnsiTheme="majorBidi" w:cstheme="majorBidi"/>
          <w:u w:val="single"/>
        </w:rPr>
        <w:t>Ancak Türkiye, NDC’sinin yanı sıra azaltım ve uyum hedeflerine ilişkin daha iddialı rakamları gerçekleştirmek amacıyla, yurtiçi kamusal ve özel kaynakların yanı sıra, iklim dostu teknik yardım ve yatırım projelerine yönelik önemli miktarda uluslararası mali desteğe ihtiyaç duymaktadır.</w:t>
      </w:r>
    </w:p>
    <w:p w14:paraId="0B7C5699" w14:textId="5B4ACFB8" w:rsidR="00890FC8" w:rsidRPr="007B16A4" w:rsidRDefault="00890FC8" w:rsidP="00896BA4">
      <w:pPr>
        <w:ind w:right="709" w:firstLine="708"/>
        <w:jc w:val="both"/>
        <w:rPr>
          <w:rFonts w:asciiTheme="majorBidi" w:hAnsiTheme="majorBidi" w:cstheme="majorBidi"/>
          <w:b/>
          <w:bCs/>
        </w:rPr>
      </w:pPr>
      <w:r w:rsidRPr="007B16A4">
        <w:rPr>
          <w:rFonts w:asciiTheme="majorBidi" w:hAnsiTheme="majorBidi" w:cstheme="majorBidi"/>
          <w:b/>
          <w:bCs/>
          <w:u w:val="single"/>
        </w:rPr>
        <w:t>Türkiye aynı zamanda uzun süredir Küresel Çevre Fonu (GEF) desteğinden yararlanmaktadır. Dolayısıyla, Türkiye’nin yeni ve ek uluslararası finansman kaynaklarına erişimi, NDC’sini hayata geçirmesi ve burada ileri sürülen yeşil büyüme vizyonunu desteklemesinde son derece etkilidir ve etkili olmaya devam edecektir.</w:t>
      </w:r>
      <w:r w:rsidR="00896BA4" w:rsidRPr="007B16A4">
        <w:rPr>
          <w:rFonts w:asciiTheme="majorBidi" w:hAnsiTheme="majorBidi" w:cstheme="majorBidi"/>
          <w:b/>
          <w:bCs/>
        </w:rPr>
        <w:t xml:space="preserve"> Ancak, Türkiye’nin BMİDÇS ve Paris Anlaşması kapsamındaki en büyük iklim fonu olan Yeşil İklim Fonu’na erişimi yoktur.</w:t>
      </w:r>
    </w:p>
    <w:p w14:paraId="2106969A" w14:textId="4114BA84" w:rsidR="00075C1E" w:rsidRPr="007B16A4" w:rsidRDefault="00075C1E" w:rsidP="00075C1E">
      <w:pPr>
        <w:ind w:right="709" w:firstLine="708"/>
        <w:jc w:val="center"/>
        <w:rPr>
          <w:rFonts w:asciiTheme="majorBidi" w:hAnsiTheme="majorBidi" w:cstheme="majorBidi"/>
          <w:b/>
          <w:bCs/>
        </w:rPr>
      </w:pPr>
      <w:r w:rsidRPr="007B16A4">
        <w:rPr>
          <w:rFonts w:asciiTheme="majorBidi" w:hAnsiTheme="majorBidi" w:cstheme="majorBidi"/>
          <w:b/>
          <w:bCs/>
        </w:rPr>
        <w:t>Açıklık, şeffaflık ve anlayışı kolaylaştırmaya yönelik bilgiler</w:t>
      </w:r>
    </w:p>
    <w:p w14:paraId="4D443110" w14:textId="19EEF124" w:rsidR="00502C39" w:rsidRPr="007B16A4" w:rsidRDefault="00502C39" w:rsidP="002E0E99">
      <w:pPr>
        <w:pStyle w:val="ListeParagraf"/>
        <w:numPr>
          <w:ilvl w:val="0"/>
          <w:numId w:val="9"/>
        </w:numPr>
        <w:ind w:left="284" w:right="709" w:firstLine="850"/>
        <w:jc w:val="both"/>
        <w:rPr>
          <w:rFonts w:asciiTheme="majorBidi" w:hAnsiTheme="majorBidi" w:cstheme="majorBidi"/>
        </w:rPr>
      </w:pPr>
      <w:r w:rsidRPr="007B16A4">
        <w:rPr>
          <w:rFonts w:asciiTheme="majorBidi" w:hAnsiTheme="majorBidi" w:cstheme="majorBidi"/>
        </w:rPr>
        <w:t xml:space="preserve">Çevre, Şehircilik ve İklim Değişikliği Bakanlığı tarafından </w:t>
      </w:r>
      <w:r w:rsidRPr="007B16A4">
        <w:rPr>
          <w:rFonts w:asciiTheme="majorBidi" w:hAnsiTheme="majorBidi" w:cstheme="majorBidi"/>
          <w:b/>
          <w:bCs/>
        </w:rPr>
        <w:t>İklim Taahhüdü Projesi</w:t>
      </w:r>
      <w:r w:rsidR="005F12C1" w:rsidRPr="007B16A4">
        <w:rPr>
          <w:rFonts w:asciiTheme="majorBidi" w:hAnsiTheme="majorBidi" w:cstheme="majorBidi"/>
          <w:b/>
          <w:bCs/>
        </w:rPr>
        <w:t xml:space="preserve"> </w:t>
      </w:r>
      <w:r w:rsidR="005F12C1" w:rsidRPr="007B16A4">
        <w:rPr>
          <w:rFonts w:asciiTheme="majorBidi" w:hAnsiTheme="majorBidi" w:cstheme="majorBidi"/>
        </w:rPr>
        <w:t>yürütülmektedir. Proje</w:t>
      </w:r>
      <w:r w:rsidRPr="007B16A4">
        <w:rPr>
          <w:rFonts w:asciiTheme="majorBidi" w:hAnsiTheme="majorBidi" w:cstheme="majorBidi"/>
          <w:b/>
          <w:bCs/>
        </w:rPr>
        <w:t xml:space="preserve"> </w:t>
      </w:r>
      <w:r w:rsidRPr="007B16A4">
        <w:rPr>
          <w:rFonts w:asciiTheme="majorBidi" w:hAnsiTheme="majorBidi" w:cstheme="majorBidi"/>
        </w:rPr>
        <w:t>kapsamında, yerel yönetimler ve kurumların eylemlerini belirlerlerken hem azaltım hem de uyum sağlayacak eylemleri belirleyebilmeleri için ortak fayda kataloğu hazırlanmıştır. Bu katalog, enerji, ulaştırma, su kaynakları, tarım, biyoçeşitlilik, atık ve sağlık gibi farklı sektörlere yönelik eylemlerin ortak faydalarını içermektedir.</w:t>
      </w:r>
    </w:p>
    <w:p w14:paraId="42C157B2" w14:textId="3A5130CB" w:rsidR="00F05753" w:rsidRPr="007B16A4" w:rsidRDefault="00F05753" w:rsidP="00A10557">
      <w:pPr>
        <w:pStyle w:val="ListeParagraf"/>
        <w:numPr>
          <w:ilvl w:val="0"/>
          <w:numId w:val="9"/>
        </w:numPr>
        <w:ind w:left="284" w:right="709" w:firstLine="784"/>
        <w:jc w:val="both"/>
        <w:rPr>
          <w:rFonts w:asciiTheme="majorBidi" w:hAnsiTheme="majorBidi" w:cstheme="majorBidi"/>
        </w:rPr>
      </w:pPr>
      <w:r w:rsidRPr="007B16A4">
        <w:rPr>
          <w:rFonts w:asciiTheme="majorBidi" w:hAnsiTheme="majorBidi" w:cstheme="majorBidi"/>
        </w:rPr>
        <w:t xml:space="preserve">Türkiye, en geç 31 Aralık 2024’te yıllık ve bu tarihten sonra iki yılda bir olmak üzere, </w:t>
      </w:r>
      <w:r w:rsidRPr="007B16A4">
        <w:rPr>
          <w:rFonts w:asciiTheme="majorBidi" w:hAnsiTheme="majorBidi" w:cstheme="majorBidi"/>
          <w:u w:val="single"/>
        </w:rPr>
        <w:t>Ulusal Envanter Raporu ve İki Yıllık Şeffaflık Raporu</w:t>
      </w:r>
      <w:r w:rsidRPr="007B16A4">
        <w:rPr>
          <w:rFonts w:asciiTheme="majorBidi" w:hAnsiTheme="majorBidi" w:cstheme="majorBidi"/>
        </w:rPr>
        <w:t xml:space="preserve"> yayınlayacak ve BMİDÇS Sekretaryası’na sunacaktır. Ulusal Envanter Raporu, Türkiye’nin insan kaynaklı sera gazı emisyonları ve bunların giderilmesini açıklayacaktır; İki Yıllık Şeffaflık Raporu ise, yapılandırılmış özet ile Türkiye’nin NDC’sine yönelik ilerlemeler hakkında rapor verecektir.</w:t>
      </w:r>
    </w:p>
    <w:p w14:paraId="5EE2FEF1" w14:textId="12C1F21C" w:rsidR="00A95788" w:rsidRPr="007B16A4" w:rsidRDefault="000434C8" w:rsidP="002E0E99">
      <w:pPr>
        <w:pStyle w:val="ListeParagraf"/>
        <w:numPr>
          <w:ilvl w:val="0"/>
          <w:numId w:val="9"/>
        </w:numPr>
        <w:ind w:left="284" w:right="709" w:firstLine="850"/>
        <w:jc w:val="both"/>
        <w:rPr>
          <w:rFonts w:asciiTheme="majorBidi" w:hAnsiTheme="majorBidi" w:cstheme="majorBidi"/>
        </w:rPr>
      </w:pPr>
      <w:r w:rsidRPr="007B16A4">
        <w:rPr>
          <w:rFonts w:asciiTheme="majorBidi" w:hAnsiTheme="majorBidi" w:cstheme="majorBidi"/>
        </w:rPr>
        <w:t xml:space="preserve">Çevre, Şehircilik ve İklim Değişikliği Bakanı’nın Başkanlık ettiği </w:t>
      </w:r>
      <w:r w:rsidR="003C16E6" w:rsidRPr="007B16A4">
        <w:rPr>
          <w:rFonts w:asciiTheme="majorBidi" w:hAnsiTheme="majorBidi" w:cstheme="majorBidi"/>
        </w:rPr>
        <w:t>İklim Değişikliği ve Uyum Koordinasyon Kurulu (</w:t>
      </w:r>
      <w:r w:rsidR="00A95788" w:rsidRPr="007B16A4">
        <w:rPr>
          <w:rFonts w:asciiTheme="majorBidi" w:hAnsiTheme="majorBidi" w:cstheme="majorBidi"/>
        </w:rPr>
        <w:t>İDUKK</w:t>
      </w:r>
      <w:r w:rsidR="003C16E6" w:rsidRPr="007B16A4">
        <w:rPr>
          <w:rFonts w:asciiTheme="majorBidi" w:hAnsiTheme="majorBidi" w:cstheme="majorBidi"/>
        </w:rPr>
        <w:t>)</w:t>
      </w:r>
      <w:r w:rsidRPr="007B16A4">
        <w:rPr>
          <w:rFonts w:asciiTheme="majorBidi" w:hAnsiTheme="majorBidi" w:cstheme="majorBidi"/>
        </w:rPr>
        <w:t>;</w:t>
      </w:r>
      <w:r w:rsidR="00A95788" w:rsidRPr="007B16A4">
        <w:rPr>
          <w:rFonts w:asciiTheme="majorBidi" w:hAnsiTheme="majorBidi" w:cstheme="majorBidi"/>
        </w:rPr>
        <w:t xml:space="preserve"> Dışişleri Bakanlığı, Enerji ve Tabii Kaynaklar Bakanlığı, Tarım ve Orman Bakanlığı, İçişleri Bakanlığı, Hazine ve Maliye Bakanlığı, Ulaştırma ve Altyapı Bakanlığı, Milli Eğitim Bakanlığı, Sağlık Bakanlığı, Sanayi ve Teknoloji Bakanlığı, Ticaret Bakanlığı, Cumhurbaşkanlığı Strateji ve Bütçe Başkanlığı, İklim Değişikliği Başkanlığı, Yükseköğretim Kurulu, Türkiye Çevre Ajansı, Türkiye İstatistik Kurumu, Türkiye Bilimsel ve Teknolojik Araştırma Kurumu, Türk Sanayicileri ve İş İnsanları Derneği, </w:t>
      </w:r>
      <w:r w:rsidR="00A95788" w:rsidRPr="007B16A4">
        <w:rPr>
          <w:rFonts w:asciiTheme="majorBidi" w:hAnsiTheme="majorBidi" w:cstheme="majorBidi"/>
          <w:b/>
          <w:bCs/>
        </w:rPr>
        <w:t>Türkiye Odalar ve Borsalar Birliği</w:t>
      </w:r>
      <w:r w:rsidR="00A95788" w:rsidRPr="007B16A4">
        <w:rPr>
          <w:rFonts w:asciiTheme="majorBidi" w:hAnsiTheme="majorBidi" w:cstheme="majorBidi"/>
        </w:rPr>
        <w:t>, ve Müstakil Sanayici ve İşadamları Derneği olmak üzere, ilgili kamu ve özel sektör paydaşlarından oluşmaktadır.</w:t>
      </w:r>
    </w:p>
    <w:p w14:paraId="490E506F" w14:textId="77777777" w:rsidR="00934B0B" w:rsidRPr="00FA2CD4" w:rsidRDefault="00934B0B" w:rsidP="00342BFF">
      <w:pPr>
        <w:jc w:val="both"/>
        <w:rPr>
          <w:rFonts w:asciiTheme="majorBidi" w:hAnsiTheme="majorBidi" w:cstheme="majorBidi"/>
          <w:b/>
          <w:bCs/>
          <w:u w:val="single"/>
        </w:rPr>
      </w:pPr>
    </w:p>
    <w:sectPr w:rsidR="00934B0B" w:rsidRPr="00FA2CD4" w:rsidSect="00A1785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35C3" w14:textId="77777777" w:rsidR="00A5474C" w:rsidRDefault="00A5474C" w:rsidP="004E3374">
      <w:pPr>
        <w:spacing w:after="0" w:line="240" w:lineRule="auto"/>
      </w:pPr>
      <w:r>
        <w:separator/>
      </w:r>
    </w:p>
  </w:endnote>
  <w:endnote w:type="continuationSeparator" w:id="0">
    <w:p w14:paraId="4C70E15A" w14:textId="77777777" w:rsidR="00A5474C" w:rsidRDefault="00A5474C" w:rsidP="004E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817130"/>
      <w:docPartObj>
        <w:docPartGallery w:val="Page Numbers (Bottom of Page)"/>
        <w:docPartUnique/>
      </w:docPartObj>
    </w:sdtPr>
    <w:sdtEndPr/>
    <w:sdtContent>
      <w:p w14:paraId="245F9C48" w14:textId="25CA857C" w:rsidR="004E3374" w:rsidRDefault="004E3374">
        <w:pPr>
          <w:pStyle w:val="AltBilgi"/>
        </w:pPr>
        <w:r>
          <mc:AlternateContent>
            <mc:Choice Requires="wps">
              <w:drawing>
                <wp:anchor distT="0" distB="0" distL="114300" distR="114300" simplePos="0" relativeHeight="251659264" behindDoc="0" locked="0" layoutInCell="1" allowOverlap="1" wp14:anchorId="64B53D75" wp14:editId="4BE0465B">
                  <wp:simplePos x="0" y="0"/>
                  <wp:positionH relativeFrom="leftMargin">
                    <wp:posOffset>6586021</wp:posOffset>
                  </wp:positionH>
                  <wp:positionV relativeFrom="bottomMargin">
                    <wp:posOffset>0</wp:posOffset>
                  </wp:positionV>
                  <wp:extent cx="762000" cy="895350"/>
                  <wp:effectExtent l="0" t="0" r="0" b="0"/>
                  <wp:wrapNone/>
                  <wp:docPr id="1178608746"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14:paraId="1803A8CB" w14:textId="77777777" w:rsidR="004E3374" w:rsidRDefault="004E3374">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53D75" id="Dikdörtgen 1" o:spid="_x0000_s1026" style="position:absolute;margin-left:518.6pt;margin-top:0;width:60pt;height:70.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" stroked="f">
                  <v:textbo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14:paraId="1803A8CB" w14:textId="77777777" w:rsidR="004E3374" w:rsidRDefault="004E3374">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E993" w14:textId="77777777" w:rsidR="00A5474C" w:rsidRDefault="00A5474C" w:rsidP="004E3374">
      <w:pPr>
        <w:spacing w:after="0" w:line="240" w:lineRule="auto"/>
      </w:pPr>
      <w:r>
        <w:separator/>
      </w:r>
    </w:p>
  </w:footnote>
  <w:footnote w:type="continuationSeparator" w:id="0">
    <w:p w14:paraId="45830336" w14:textId="77777777" w:rsidR="00A5474C" w:rsidRDefault="00A5474C" w:rsidP="004E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5E37"/>
    <w:multiLevelType w:val="hybridMultilevel"/>
    <w:tmpl w:val="513CDEAC"/>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559465E3"/>
    <w:multiLevelType w:val="hybridMultilevel"/>
    <w:tmpl w:val="178C9C8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5D721EE8"/>
    <w:multiLevelType w:val="hybridMultilevel"/>
    <w:tmpl w:val="A13CE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E0009F"/>
    <w:multiLevelType w:val="hybridMultilevel"/>
    <w:tmpl w:val="0E2E52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8891D96"/>
    <w:multiLevelType w:val="hybridMultilevel"/>
    <w:tmpl w:val="71B0D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654A86"/>
    <w:multiLevelType w:val="hybridMultilevel"/>
    <w:tmpl w:val="24F63F52"/>
    <w:lvl w:ilvl="0" w:tplc="0409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7C4F3720"/>
    <w:multiLevelType w:val="hybridMultilevel"/>
    <w:tmpl w:val="2CF40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586289"/>
    <w:multiLevelType w:val="hybridMultilevel"/>
    <w:tmpl w:val="E1EA6CD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8" w15:restartNumberingAfterBreak="0">
    <w:nsid w:val="7DBF5DF9"/>
    <w:multiLevelType w:val="hybridMultilevel"/>
    <w:tmpl w:val="A322F9BE"/>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num w:numId="1" w16cid:durableId="97524783">
    <w:abstractNumId w:val="5"/>
  </w:num>
  <w:num w:numId="2" w16cid:durableId="1161771855">
    <w:abstractNumId w:val="7"/>
  </w:num>
  <w:num w:numId="3" w16cid:durableId="1054934504">
    <w:abstractNumId w:val="1"/>
  </w:num>
  <w:num w:numId="4" w16cid:durableId="648437899">
    <w:abstractNumId w:val="8"/>
  </w:num>
  <w:num w:numId="5" w16cid:durableId="804278943">
    <w:abstractNumId w:val="2"/>
  </w:num>
  <w:num w:numId="6" w16cid:durableId="32965004">
    <w:abstractNumId w:val="6"/>
  </w:num>
  <w:num w:numId="7" w16cid:durableId="1198082939">
    <w:abstractNumId w:val="3"/>
  </w:num>
  <w:num w:numId="8" w16cid:durableId="1392002501">
    <w:abstractNumId w:val="4"/>
  </w:num>
  <w:num w:numId="9" w16cid:durableId="48601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3A"/>
    <w:rsid w:val="0000544F"/>
    <w:rsid w:val="00006EF1"/>
    <w:rsid w:val="00034EA0"/>
    <w:rsid w:val="000434C8"/>
    <w:rsid w:val="00046980"/>
    <w:rsid w:val="00066CEA"/>
    <w:rsid w:val="00075C1E"/>
    <w:rsid w:val="00091CD6"/>
    <w:rsid w:val="000979A4"/>
    <w:rsid w:val="000B72C3"/>
    <w:rsid w:val="000B7FFE"/>
    <w:rsid w:val="000F5F69"/>
    <w:rsid w:val="00117B5C"/>
    <w:rsid w:val="00122913"/>
    <w:rsid w:val="00133C0E"/>
    <w:rsid w:val="00146C7D"/>
    <w:rsid w:val="00150169"/>
    <w:rsid w:val="00181AD7"/>
    <w:rsid w:val="001C312F"/>
    <w:rsid w:val="001E29CC"/>
    <w:rsid w:val="001E410F"/>
    <w:rsid w:val="001F51F1"/>
    <w:rsid w:val="00203E92"/>
    <w:rsid w:val="00230D73"/>
    <w:rsid w:val="002428CA"/>
    <w:rsid w:val="00245978"/>
    <w:rsid w:val="00272500"/>
    <w:rsid w:val="002745E6"/>
    <w:rsid w:val="00283A8A"/>
    <w:rsid w:val="002907AA"/>
    <w:rsid w:val="00296E28"/>
    <w:rsid w:val="002A6180"/>
    <w:rsid w:val="002A6D16"/>
    <w:rsid w:val="002C5CAC"/>
    <w:rsid w:val="002D4996"/>
    <w:rsid w:val="002E0E99"/>
    <w:rsid w:val="002E1931"/>
    <w:rsid w:val="002E2D33"/>
    <w:rsid w:val="002F3680"/>
    <w:rsid w:val="00302874"/>
    <w:rsid w:val="0031591E"/>
    <w:rsid w:val="00323B62"/>
    <w:rsid w:val="00331DC9"/>
    <w:rsid w:val="00340539"/>
    <w:rsid w:val="00341D63"/>
    <w:rsid w:val="00342BFF"/>
    <w:rsid w:val="0035584C"/>
    <w:rsid w:val="00367B0E"/>
    <w:rsid w:val="0037376D"/>
    <w:rsid w:val="00374DEC"/>
    <w:rsid w:val="00382F1F"/>
    <w:rsid w:val="00392337"/>
    <w:rsid w:val="003C16E6"/>
    <w:rsid w:val="003C7E1B"/>
    <w:rsid w:val="003C7F07"/>
    <w:rsid w:val="003F6345"/>
    <w:rsid w:val="003F7C7A"/>
    <w:rsid w:val="004034C5"/>
    <w:rsid w:val="004158ED"/>
    <w:rsid w:val="00426344"/>
    <w:rsid w:val="00434A48"/>
    <w:rsid w:val="00443EED"/>
    <w:rsid w:val="004503B6"/>
    <w:rsid w:val="0045496E"/>
    <w:rsid w:val="00467735"/>
    <w:rsid w:val="00483479"/>
    <w:rsid w:val="00491C89"/>
    <w:rsid w:val="004941DA"/>
    <w:rsid w:val="004A1ABC"/>
    <w:rsid w:val="004A2513"/>
    <w:rsid w:val="004C19BB"/>
    <w:rsid w:val="004C6B34"/>
    <w:rsid w:val="004D3E75"/>
    <w:rsid w:val="004D422F"/>
    <w:rsid w:val="004E08D5"/>
    <w:rsid w:val="004E3374"/>
    <w:rsid w:val="004F6141"/>
    <w:rsid w:val="00502C39"/>
    <w:rsid w:val="00512D94"/>
    <w:rsid w:val="00542170"/>
    <w:rsid w:val="00544868"/>
    <w:rsid w:val="005526F6"/>
    <w:rsid w:val="005634F4"/>
    <w:rsid w:val="005726E7"/>
    <w:rsid w:val="00574D58"/>
    <w:rsid w:val="005A6C53"/>
    <w:rsid w:val="005B5BB9"/>
    <w:rsid w:val="005F12C1"/>
    <w:rsid w:val="005F61F5"/>
    <w:rsid w:val="00613EB0"/>
    <w:rsid w:val="0061788A"/>
    <w:rsid w:val="006246F2"/>
    <w:rsid w:val="00660692"/>
    <w:rsid w:val="006749E6"/>
    <w:rsid w:val="0068185C"/>
    <w:rsid w:val="0069227F"/>
    <w:rsid w:val="00693B9A"/>
    <w:rsid w:val="006B7CD1"/>
    <w:rsid w:val="006C0D84"/>
    <w:rsid w:val="006C240A"/>
    <w:rsid w:val="006C48D7"/>
    <w:rsid w:val="006C6E01"/>
    <w:rsid w:val="006D0111"/>
    <w:rsid w:val="006D581A"/>
    <w:rsid w:val="006D6645"/>
    <w:rsid w:val="00750352"/>
    <w:rsid w:val="007531B3"/>
    <w:rsid w:val="007605EA"/>
    <w:rsid w:val="00771382"/>
    <w:rsid w:val="00777302"/>
    <w:rsid w:val="0079390C"/>
    <w:rsid w:val="007B16A4"/>
    <w:rsid w:val="007C14BD"/>
    <w:rsid w:val="007C2014"/>
    <w:rsid w:val="007C327B"/>
    <w:rsid w:val="007C4514"/>
    <w:rsid w:val="007E204B"/>
    <w:rsid w:val="007E3B29"/>
    <w:rsid w:val="00823B02"/>
    <w:rsid w:val="00825AE1"/>
    <w:rsid w:val="00826314"/>
    <w:rsid w:val="0083047E"/>
    <w:rsid w:val="00832185"/>
    <w:rsid w:val="0083714B"/>
    <w:rsid w:val="0086497A"/>
    <w:rsid w:val="0087009E"/>
    <w:rsid w:val="00890C70"/>
    <w:rsid w:val="00890FC8"/>
    <w:rsid w:val="00894A92"/>
    <w:rsid w:val="00896BA4"/>
    <w:rsid w:val="00897F7C"/>
    <w:rsid w:val="008B2EA9"/>
    <w:rsid w:val="008D4DE7"/>
    <w:rsid w:val="008F2A50"/>
    <w:rsid w:val="00904035"/>
    <w:rsid w:val="00917D35"/>
    <w:rsid w:val="00924CE8"/>
    <w:rsid w:val="0093293F"/>
    <w:rsid w:val="00934B0B"/>
    <w:rsid w:val="00954E4C"/>
    <w:rsid w:val="00960574"/>
    <w:rsid w:val="00961B0D"/>
    <w:rsid w:val="00962B52"/>
    <w:rsid w:val="00973D24"/>
    <w:rsid w:val="009763CD"/>
    <w:rsid w:val="00993A47"/>
    <w:rsid w:val="00996666"/>
    <w:rsid w:val="009A05ED"/>
    <w:rsid w:val="009E1AE1"/>
    <w:rsid w:val="009E249E"/>
    <w:rsid w:val="00A05EE4"/>
    <w:rsid w:val="00A10557"/>
    <w:rsid w:val="00A15467"/>
    <w:rsid w:val="00A15F65"/>
    <w:rsid w:val="00A1745E"/>
    <w:rsid w:val="00A1785E"/>
    <w:rsid w:val="00A431D6"/>
    <w:rsid w:val="00A44873"/>
    <w:rsid w:val="00A5474C"/>
    <w:rsid w:val="00A706E7"/>
    <w:rsid w:val="00A77755"/>
    <w:rsid w:val="00A77AEF"/>
    <w:rsid w:val="00A8654D"/>
    <w:rsid w:val="00A95788"/>
    <w:rsid w:val="00AA0F42"/>
    <w:rsid w:val="00AA7E26"/>
    <w:rsid w:val="00AB18A3"/>
    <w:rsid w:val="00AD6D4F"/>
    <w:rsid w:val="00AE6891"/>
    <w:rsid w:val="00B00E52"/>
    <w:rsid w:val="00B0266A"/>
    <w:rsid w:val="00B02C38"/>
    <w:rsid w:val="00B03469"/>
    <w:rsid w:val="00B059FF"/>
    <w:rsid w:val="00B15A18"/>
    <w:rsid w:val="00B36A15"/>
    <w:rsid w:val="00B41B7F"/>
    <w:rsid w:val="00B44E37"/>
    <w:rsid w:val="00B4735B"/>
    <w:rsid w:val="00B81FAD"/>
    <w:rsid w:val="00B83521"/>
    <w:rsid w:val="00BA097D"/>
    <w:rsid w:val="00BA11E5"/>
    <w:rsid w:val="00BB06D1"/>
    <w:rsid w:val="00BB55DB"/>
    <w:rsid w:val="00BB7D5D"/>
    <w:rsid w:val="00BC70E7"/>
    <w:rsid w:val="00BE0C83"/>
    <w:rsid w:val="00BE65C8"/>
    <w:rsid w:val="00C14B71"/>
    <w:rsid w:val="00C16F79"/>
    <w:rsid w:val="00C37288"/>
    <w:rsid w:val="00C67938"/>
    <w:rsid w:val="00C90C99"/>
    <w:rsid w:val="00CA4EB4"/>
    <w:rsid w:val="00CB10DF"/>
    <w:rsid w:val="00CB7DAB"/>
    <w:rsid w:val="00CD2D57"/>
    <w:rsid w:val="00CD6718"/>
    <w:rsid w:val="00CF167B"/>
    <w:rsid w:val="00CF2B3C"/>
    <w:rsid w:val="00D06BA0"/>
    <w:rsid w:val="00D13A14"/>
    <w:rsid w:val="00D16D92"/>
    <w:rsid w:val="00D20DF4"/>
    <w:rsid w:val="00D3615C"/>
    <w:rsid w:val="00D50998"/>
    <w:rsid w:val="00D86ABA"/>
    <w:rsid w:val="00DA79AD"/>
    <w:rsid w:val="00DB0039"/>
    <w:rsid w:val="00DB3D42"/>
    <w:rsid w:val="00DB5843"/>
    <w:rsid w:val="00DC2D91"/>
    <w:rsid w:val="00DC3F8A"/>
    <w:rsid w:val="00DD2087"/>
    <w:rsid w:val="00E02352"/>
    <w:rsid w:val="00E103BD"/>
    <w:rsid w:val="00E107EB"/>
    <w:rsid w:val="00E1218D"/>
    <w:rsid w:val="00E21045"/>
    <w:rsid w:val="00E42981"/>
    <w:rsid w:val="00E468C0"/>
    <w:rsid w:val="00E56530"/>
    <w:rsid w:val="00E80207"/>
    <w:rsid w:val="00E84326"/>
    <w:rsid w:val="00E8628F"/>
    <w:rsid w:val="00E956CB"/>
    <w:rsid w:val="00EA34DD"/>
    <w:rsid w:val="00EB5878"/>
    <w:rsid w:val="00EB5C8F"/>
    <w:rsid w:val="00ED60C6"/>
    <w:rsid w:val="00EE5847"/>
    <w:rsid w:val="00EE7561"/>
    <w:rsid w:val="00EF0443"/>
    <w:rsid w:val="00EF2F30"/>
    <w:rsid w:val="00F05753"/>
    <w:rsid w:val="00F45EB4"/>
    <w:rsid w:val="00F56A01"/>
    <w:rsid w:val="00F666EC"/>
    <w:rsid w:val="00F66733"/>
    <w:rsid w:val="00F7798C"/>
    <w:rsid w:val="00F864F3"/>
    <w:rsid w:val="00F87B1F"/>
    <w:rsid w:val="00FA2CD4"/>
    <w:rsid w:val="00FA513A"/>
    <w:rsid w:val="00FA5B02"/>
    <w:rsid w:val="00FA5CC4"/>
    <w:rsid w:val="00FC3983"/>
    <w:rsid w:val="00FD6FE9"/>
    <w:rsid w:val="00FE25B0"/>
    <w:rsid w:val="00FF60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EF4F4"/>
  <w15:chartTrackingRefBased/>
  <w15:docId w15:val="{E1F5B43D-B4F5-442F-A827-27CCB8C8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7561"/>
    <w:pPr>
      <w:ind w:left="720"/>
      <w:contextualSpacing/>
    </w:pPr>
  </w:style>
  <w:style w:type="paragraph" w:styleId="stBilgi">
    <w:name w:val="header"/>
    <w:basedOn w:val="Normal"/>
    <w:link w:val="stBilgiChar"/>
    <w:uiPriority w:val="99"/>
    <w:unhideWhenUsed/>
    <w:rsid w:val="004E33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3374"/>
    <w:rPr>
      <w:noProof/>
    </w:rPr>
  </w:style>
  <w:style w:type="paragraph" w:styleId="AltBilgi">
    <w:name w:val="footer"/>
    <w:basedOn w:val="Normal"/>
    <w:link w:val="AltBilgiChar"/>
    <w:uiPriority w:val="99"/>
    <w:unhideWhenUsed/>
    <w:rsid w:val="004E33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337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2162</Words>
  <Characters>12330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Turgut Gülerer</dc:creator>
  <cp:keywords/>
  <dc:description/>
  <cp:lastModifiedBy>Eda Öktem</cp:lastModifiedBy>
  <cp:revision>3</cp:revision>
  <cp:lastPrinted>2023-05-04T14:32:00Z</cp:lastPrinted>
  <dcterms:created xsi:type="dcterms:W3CDTF">2023-05-05T07:40:00Z</dcterms:created>
  <dcterms:modified xsi:type="dcterms:W3CDTF">2023-05-05T08:26:00Z</dcterms:modified>
</cp:coreProperties>
</file>